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757"/>
        <w:gridCol w:w="1134"/>
        <w:gridCol w:w="3047"/>
      </w:tblGrid>
      <w:tr w:rsidR="00A42325">
        <w:tc>
          <w:tcPr>
            <w:tcW w:w="5954" w:type="dxa"/>
            <w:gridSpan w:val="2"/>
          </w:tcPr>
          <w:p w:rsidR="00A42325" w:rsidRDefault="00A42325">
            <w:pPr>
              <w:jc w:val="right"/>
            </w:pPr>
            <w:r>
              <w:rPr>
                <w:noProof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40.05pt" o:ole="" fillcolor="window">
                  <v:imagedata r:id="rId8" o:title=""/>
                </v:shape>
                <o:OLEObject Type="Embed" ProgID="MSPhotoEd.3" ShapeID="_x0000_i1025" DrawAspect="Content" ObjectID="_1590329459" r:id="rId9"/>
              </w:object>
            </w:r>
          </w:p>
        </w:tc>
        <w:tc>
          <w:tcPr>
            <w:tcW w:w="4181" w:type="dxa"/>
            <w:gridSpan w:val="2"/>
          </w:tcPr>
          <w:p w:rsidR="00A42325" w:rsidRDefault="00A42325">
            <w:pPr>
              <w:pStyle w:val="EnTete1"/>
              <w:spacing w:before="200"/>
              <w:rPr>
                <w:rFonts w:ascii="Plantin" w:hAnsi="Plantin"/>
                <w:b w:val="0"/>
                <w:color w:val="auto"/>
                <w:sz w:val="22"/>
              </w:rPr>
            </w:pPr>
            <w:r>
              <w:rPr>
                <w:rFonts w:ascii="Plantin" w:hAnsi="Plantin"/>
                <w:b w:val="0"/>
                <w:color w:val="auto"/>
                <w:sz w:val="22"/>
              </w:rPr>
              <w:t>Bibliothèque nationale de France</w:t>
            </w:r>
          </w:p>
          <w:p w:rsidR="00A42325" w:rsidRDefault="00EA623D">
            <w:pPr>
              <w:pStyle w:val="EnTete1"/>
            </w:pPr>
            <w:bookmarkStart w:id="0" w:name="UONiv1"/>
            <w:r>
              <w:t>direction des Services et des réseaux</w:t>
            </w:r>
            <w:bookmarkEnd w:id="0"/>
          </w:p>
          <w:p w:rsidR="00A42325" w:rsidRDefault="00EA623D">
            <w:pPr>
              <w:pStyle w:val="EnTete2"/>
            </w:pPr>
            <w:bookmarkStart w:id="1" w:name="UONiv2"/>
            <w:r>
              <w:t>département du Dépôt légal</w:t>
            </w:r>
            <w:bookmarkEnd w:id="1"/>
          </w:p>
          <w:p w:rsidR="00A42325" w:rsidRDefault="00EA623D">
            <w:pPr>
              <w:pStyle w:val="EnTete3"/>
              <w:rPr>
                <w:color w:val="000000"/>
              </w:rPr>
            </w:pPr>
            <w:bookmarkStart w:id="2" w:name="UONiv3"/>
            <w:r>
              <w:rPr>
                <w:color w:val="000000"/>
              </w:rPr>
              <w:t>dépôt légal numérique</w:t>
            </w:r>
            <w:bookmarkEnd w:id="2"/>
          </w:p>
          <w:p w:rsidR="00A42325" w:rsidRDefault="00A42325">
            <w:pPr>
              <w:pStyle w:val="EnTete4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02B4">
              <w:rPr>
                <w:noProof/>
              </w:rPr>
              <w:t> </w:t>
            </w:r>
            <w:r w:rsidR="00B102B4">
              <w:rPr>
                <w:noProof/>
              </w:rPr>
              <w:t> </w:t>
            </w:r>
            <w:r w:rsidR="00B102B4">
              <w:rPr>
                <w:noProof/>
              </w:rPr>
              <w:t> </w:t>
            </w:r>
            <w:r w:rsidR="00B102B4">
              <w:rPr>
                <w:noProof/>
              </w:rPr>
              <w:t> </w:t>
            </w:r>
            <w:r w:rsidR="00B102B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325">
        <w:tc>
          <w:tcPr>
            <w:tcW w:w="5954" w:type="dxa"/>
            <w:gridSpan w:val="2"/>
          </w:tcPr>
          <w:p w:rsidR="00A42325" w:rsidRDefault="00B102B4">
            <w:pPr>
              <w:rPr>
                <w:noProof/>
                <w:color w:val="FFFFFF"/>
              </w:rPr>
            </w:pPr>
            <w:bookmarkStart w:id="3" w:name="DateRef"/>
            <w:r>
              <w:rPr>
                <w:noProof/>
                <w:color w:val="FFFFFF"/>
              </w:rPr>
              <w:t>11/06/2018 15:06:15</w:t>
            </w:r>
            <w:bookmarkEnd w:id="3"/>
          </w:p>
        </w:tc>
        <w:tc>
          <w:tcPr>
            <w:tcW w:w="4181" w:type="dxa"/>
            <w:gridSpan w:val="2"/>
            <w:vAlign w:val="bottom"/>
          </w:tcPr>
          <w:p w:rsidR="00A42325" w:rsidRDefault="00EA623D">
            <w:pPr>
              <w:pStyle w:val="AdrBnF"/>
            </w:pPr>
            <w:bookmarkStart w:id="4" w:name="AdresseUO"/>
            <w:r>
              <w:t>Quai François-Mauriac 75706 Paris Cedex 13</w:t>
            </w:r>
            <w:bookmarkEnd w:id="4"/>
          </w:p>
        </w:tc>
      </w:tr>
      <w:tr w:rsidR="00A42325">
        <w:tc>
          <w:tcPr>
            <w:tcW w:w="5954" w:type="dxa"/>
            <w:gridSpan w:val="2"/>
          </w:tcPr>
          <w:p w:rsidR="00A42325" w:rsidRDefault="00A42325"/>
        </w:tc>
        <w:tc>
          <w:tcPr>
            <w:tcW w:w="1134" w:type="dxa"/>
            <w:vAlign w:val="bottom"/>
          </w:tcPr>
          <w:p w:rsidR="00A42325" w:rsidRDefault="00A42325">
            <w:pPr>
              <w:spacing w:line="200" w:lineRule="exact"/>
              <w:ind w:left="85"/>
              <w:rPr>
                <w:rFonts w:ascii="CorporateSBQ" w:hAnsi="CorporateSBQ"/>
                <w:sz w:val="18"/>
              </w:rPr>
            </w:pPr>
            <w:r>
              <w:rPr>
                <w:rFonts w:ascii="CorporateSBQ" w:hAnsi="CorporateSBQ"/>
                <w:sz w:val="18"/>
              </w:rPr>
              <w:t>téléphone</w:t>
            </w:r>
          </w:p>
        </w:tc>
        <w:tc>
          <w:tcPr>
            <w:tcW w:w="3047" w:type="dxa"/>
            <w:vAlign w:val="bottom"/>
          </w:tcPr>
          <w:p w:rsidR="00A42325" w:rsidRDefault="00EA623D">
            <w:pPr>
              <w:spacing w:line="200" w:lineRule="exact"/>
              <w:rPr>
                <w:rFonts w:ascii="CorporateSBQ" w:hAnsi="CorporateSBQ"/>
                <w:sz w:val="18"/>
              </w:rPr>
            </w:pPr>
            <w:bookmarkStart w:id="5" w:name="TelephoneUO"/>
            <w:r>
              <w:rPr>
                <w:rFonts w:ascii="CorporateSBQ" w:hAnsi="CorporateSBQ"/>
                <w:color w:val="000000"/>
                <w:sz w:val="18"/>
              </w:rPr>
              <w:t>33 (0)1 53 79 59 28</w:t>
            </w:r>
            <w:bookmarkEnd w:id="5"/>
          </w:p>
        </w:tc>
      </w:tr>
      <w:tr w:rsidR="00A42325">
        <w:trPr>
          <w:cantSplit/>
        </w:trPr>
        <w:tc>
          <w:tcPr>
            <w:tcW w:w="5954" w:type="dxa"/>
            <w:gridSpan w:val="2"/>
          </w:tcPr>
          <w:p w:rsidR="00A42325" w:rsidRDefault="00A42325"/>
        </w:tc>
        <w:tc>
          <w:tcPr>
            <w:tcW w:w="1134" w:type="dxa"/>
            <w:vAlign w:val="bottom"/>
          </w:tcPr>
          <w:p w:rsidR="00A42325" w:rsidRDefault="00A42325">
            <w:pPr>
              <w:spacing w:line="200" w:lineRule="exact"/>
              <w:ind w:left="85"/>
              <w:rPr>
                <w:rFonts w:ascii="CorporateSBQ" w:hAnsi="CorporateSBQ"/>
                <w:sz w:val="18"/>
              </w:rPr>
            </w:pPr>
            <w:r>
              <w:rPr>
                <w:rFonts w:ascii="CorporateSBQ" w:hAnsi="CorporateSBQ"/>
                <w:sz w:val="18"/>
              </w:rPr>
              <w:t>télécopie</w:t>
            </w:r>
          </w:p>
        </w:tc>
        <w:tc>
          <w:tcPr>
            <w:tcW w:w="3047" w:type="dxa"/>
            <w:vAlign w:val="bottom"/>
          </w:tcPr>
          <w:p w:rsidR="00A42325" w:rsidRDefault="00EA623D">
            <w:pPr>
              <w:spacing w:line="200" w:lineRule="exact"/>
              <w:rPr>
                <w:rFonts w:ascii="CorporateSBQ" w:hAnsi="CorporateSBQ"/>
                <w:sz w:val="18"/>
              </w:rPr>
            </w:pPr>
            <w:bookmarkStart w:id="6" w:name="Telecopie"/>
            <w:r>
              <w:rPr>
                <w:rFonts w:ascii="CorporateSBQ" w:hAnsi="CorporateSBQ"/>
                <w:color w:val="000000"/>
                <w:sz w:val="18"/>
              </w:rPr>
              <w:t>33 (0)1 53 79 85 56</w:t>
            </w:r>
            <w:bookmarkEnd w:id="6"/>
          </w:p>
        </w:tc>
      </w:tr>
      <w:tr w:rsidR="00A42325">
        <w:tc>
          <w:tcPr>
            <w:tcW w:w="5954" w:type="dxa"/>
            <w:gridSpan w:val="2"/>
          </w:tcPr>
          <w:p w:rsidR="00A42325" w:rsidRDefault="00A42325"/>
        </w:tc>
        <w:tc>
          <w:tcPr>
            <w:tcW w:w="1134" w:type="dxa"/>
            <w:vAlign w:val="bottom"/>
          </w:tcPr>
          <w:p w:rsidR="00A42325" w:rsidRDefault="00A42325">
            <w:pPr>
              <w:spacing w:line="200" w:lineRule="exact"/>
              <w:ind w:left="85"/>
              <w:rPr>
                <w:rFonts w:ascii="CorporateSBQ" w:hAnsi="CorporateSBQ"/>
                <w:sz w:val="18"/>
              </w:rPr>
            </w:pPr>
          </w:p>
        </w:tc>
        <w:tc>
          <w:tcPr>
            <w:tcW w:w="3047" w:type="dxa"/>
            <w:vAlign w:val="bottom"/>
          </w:tcPr>
          <w:p w:rsidR="00A42325" w:rsidRDefault="00A42325">
            <w:pPr>
              <w:spacing w:line="200" w:lineRule="exact"/>
              <w:rPr>
                <w:rFonts w:ascii="CorporateSBQ" w:hAnsi="CorporateSBQ"/>
                <w:sz w:val="18"/>
              </w:rPr>
            </w:pPr>
          </w:p>
        </w:tc>
      </w:tr>
      <w:tr w:rsidR="00A42325">
        <w:trPr>
          <w:cantSplit/>
        </w:trPr>
        <w:tc>
          <w:tcPr>
            <w:tcW w:w="2197" w:type="dxa"/>
          </w:tcPr>
          <w:p w:rsidR="00A42325" w:rsidRDefault="00A42325">
            <w:pPr>
              <w:rPr>
                <w:rFonts w:ascii="CorporateSBQ" w:hAnsi="CorporateSBQ"/>
                <w:sz w:val="14"/>
              </w:rPr>
            </w:pPr>
            <w:r>
              <w:rPr>
                <w:rFonts w:ascii="CorporateSBQ" w:hAnsi="CorporateSBQ"/>
                <w:sz w:val="14"/>
              </w:rPr>
              <w:t xml:space="preserve">Réf : </w:t>
            </w:r>
            <w:bookmarkStart w:id="7" w:name="RefBnF"/>
            <w:r w:rsidR="00EA623D">
              <w:rPr>
                <w:rFonts w:ascii="CorporateSBQ" w:hAnsi="CorporateSBQ"/>
                <w:sz w:val="14"/>
              </w:rPr>
              <w:t>BnF-ADM-2018-061898-01</w:t>
            </w:r>
            <w:bookmarkEnd w:id="7"/>
          </w:p>
        </w:tc>
        <w:tc>
          <w:tcPr>
            <w:tcW w:w="3757" w:type="dxa"/>
          </w:tcPr>
          <w:p w:rsidR="00A42325" w:rsidRDefault="00A42325">
            <w:pPr>
              <w:rPr>
                <w:rFonts w:ascii="CorporateSBQ" w:hAnsi="CorporateSBQ"/>
                <w:noProof/>
                <w:sz w:val="14"/>
              </w:rPr>
            </w:pPr>
            <w:r>
              <w:rPr>
                <w:rFonts w:ascii="CorporateSBQ" w:hAnsi="CorporateSBQ"/>
                <w:sz w:val="14"/>
              </w:rPr>
              <w:t xml:space="preserve">Affaire suivie par : </w:t>
            </w:r>
            <w:bookmarkStart w:id="8" w:name="SuiviPar"/>
            <w:r w:rsidR="00EA623D">
              <w:rPr>
                <w:rFonts w:ascii="CorporateSBQ" w:hAnsi="CorporateSBQ"/>
                <w:sz w:val="14"/>
              </w:rPr>
              <w:t>Marie CHOULEUR</w:t>
            </w:r>
            <w:bookmarkEnd w:id="8"/>
          </w:p>
          <w:p w:rsidR="00A42325" w:rsidRDefault="00A42325">
            <w:pPr>
              <w:rPr>
                <w:rFonts w:ascii="CorporateSBQ" w:hAnsi="CorporateSBQ"/>
                <w:sz w:val="14"/>
              </w:rPr>
            </w:pPr>
            <w:r>
              <w:rPr>
                <w:rFonts w:ascii="CorporateSBQ" w:hAnsi="CorporateSBQ"/>
                <w:noProof/>
                <w:sz w:val="14"/>
              </w:rPr>
              <w:t xml:space="preserve">tél : </w:t>
            </w:r>
            <w:bookmarkStart w:id="9" w:name="Telephone"/>
            <w:r w:rsidR="00EA623D">
              <w:rPr>
                <w:rFonts w:ascii="CorporateSBQ" w:hAnsi="CorporateSBQ"/>
                <w:noProof/>
                <w:sz w:val="14"/>
              </w:rPr>
              <w:t>33 (0)1 53 79 54 93</w:t>
            </w:r>
            <w:bookmarkEnd w:id="9"/>
          </w:p>
        </w:tc>
        <w:tc>
          <w:tcPr>
            <w:tcW w:w="4181" w:type="dxa"/>
            <w:gridSpan w:val="2"/>
            <w:shd w:val="clear" w:color="auto" w:fill="000000"/>
          </w:tcPr>
          <w:p w:rsidR="00A42325" w:rsidRDefault="00A42325">
            <w:pPr>
              <w:ind w:left="85"/>
              <w:rPr>
                <w:rFonts w:ascii="CorporateSBQ" w:hAnsi="CorporateSBQ"/>
                <w:b/>
                <w:sz w:val="28"/>
              </w:rPr>
            </w:pPr>
            <w:r>
              <w:rPr>
                <w:rFonts w:ascii="CorporateSBQ" w:hAnsi="CorporateSBQ"/>
                <w:b/>
                <w:sz w:val="28"/>
              </w:rPr>
              <w:t>note</w:t>
            </w:r>
          </w:p>
        </w:tc>
      </w:tr>
      <w:tr w:rsidR="00A42325">
        <w:trPr>
          <w:cantSplit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2325" w:rsidRDefault="00A42325">
            <w:pPr>
              <w:spacing w:before="60"/>
              <w:rPr>
                <w:rFonts w:ascii="CorporateSBQ" w:hAnsi="CorporateSBQ"/>
                <w:b/>
                <w:sz w:val="18"/>
              </w:rPr>
            </w:pPr>
            <w:r>
              <w:rPr>
                <w:rFonts w:ascii="CorporateSBQ" w:hAnsi="CorporateSBQ"/>
                <w:b/>
                <w:sz w:val="18"/>
              </w:rPr>
              <w:t>note de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2325" w:rsidRDefault="00EA623D">
            <w:pPr>
              <w:spacing w:before="60"/>
              <w:rPr>
                <w:b/>
                <w:sz w:val="18"/>
              </w:rPr>
            </w:pPr>
            <w:bookmarkStart w:id="10" w:name="Emetteur"/>
            <w:r>
              <w:rPr>
                <w:b/>
                <w:sz w:val="18"/>
              </w:rPr>
              <w:t>Marie CHOULEUR</w:t>
            </w:r>
            <w:bookmarkEnd w:id="10"/>
            <w:r w:rsidR="00A42325">
              <w:rPr>
                <w:b/>
                <w:sz w:val="18"/>
              </w:rPr>
              <w:t xml:space="preserve">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</w:tcBorders>
            <w:vAlign w:val="bottom"/>
          </w:tcPr>
          <w:p w:rsidR="00A42325" w:rsidRDefault="00A42325">
            <w:pPr>
              <w:spacing w:before="60"/>
              <w:rPr>
                <w:b/>
                <w:sz w:val="18"/>
              </w:rPr>
            </w:pPr>
          </w:p>
        </w:tc>
      </w:tr>
      <w:tr w:rsidR="00A42325">
        <w:trPr>
          <w:cantSplit/>
        </w:trPr>
        <w:tc>
          <w:tcPr>
            <w:tcW w:w="2197" w:type="dxa"/>
            <w:vAlign w:val="bottom"/>
          </w:tcPr>
          <w:p w:rsidR="00A42325" w:rsidRDefault="00A42325">
            <w:pPr>
              <w:spacing w:before="60"/>
              <w:rPr>
                <w:rFonts w:ascii="CorporateSBQ" w:hAnsi="CorporateSBQ"/>
                <w:b/>
                <w:sz w:val="18"/>
              </w:rPr>
            </w:pPr>
          </w:p>
        </w:tc>
        <w:tc>
          <w:tcPr>
            <w:tcW w:w="3757" w:type="dxa"/>
            <w:vAlign w:val="bottom"/>
          </w:tcPr>
          <w:p w:rsidR="00A42325" w:rsidRDefault="00A42325">
            <w:pPr>
              <w:spacing w:before="60"/>
              <w:rPr>
                <w:b/>
                <w:sz w:val="18"/>
              </w:rPr>
            </w:pPr>
          </w:p>
        </w:tc>
        <w:tc>
          <w:tcPr>
            <w:tcW w:w="4181" w:type="dxa"/>
            <w:gridSpan w:val="2"/>
            <w:vAlign w:val="bottom"/>
          </w:tcPr>
          <w:p w:rsidR="00A42325" w:rsidRDefault="00A42325">
            <w:pPr>
              <w:spacing w:before="60"/>
              <w:rPr>
                <w:b/>
                <w:sz w:val="18"/>
              </w:rPr>
            </w:pPr>
          </w:p>
        </w:tc>
      </w:tr>
      <w:tr w:rsidR="00A42325">
        <w:trPr>
          <w:cantSplit/>
        </w:trPr>
        <w:tc>
          <w:tcPr>
            <w:tcW w:w="2197" w:type="dxa"/>
            <w:vAlign w:val="bottom"/>
          </w:tcPr>
          <w:p w:rsidR="00A42325" w:rsidRDefault="00A42325">
            <w:pPr>
              <w:spacing w:before="60"/>
              <w:rPr>
                <w:rFonts w:ascii="CorporateSBQ" w:hAnsi="CorporateSBQ"/>
                <w:b/>
                <w:sz w:val="18"/>
              </w:rPr>
            </w:pPr>
          </w:p>
        </w:tc>
        <w:tc>
          <w:tcPr>
            <w:tcW w:w="3757" w:type="dxa"/>
            <w:vAlign w:val="bottom"/>
          </w:tcPr>
          <w:p w:rsidR="00A42325" w:rsidRDefault="00A42325">
            <w:pPr>
              <w:spacing w:before="60"/>
              <w:rPr>
                <w:b/>
                <w:sz w:val="18"/>
              </w:rPr>
            </w:pPr>
          </w:p>
        </w:tc>
        <w:tc>
          <w:tcPr>
            <w:tcW w:w="4181" w:type="dxa"/>
            <w:gridSpan w:val="2"/>
            <w:vAlign w:val="bottom"/>
          </w:tcPr>
          <w:p w:rsidR="00A42325" w:rsidRDefault="00A42325">
            <w:pPr>
              <w:spacing w:before="60"/>
              <w:rPr>
                <w:b/>
                <w:sz w:val="18"/>
              </w:rPr>
            </w:pPr>
          </w:p>
        </w:tc>
      </w:tr>
      <w:tr w:rsidR="00A42325">
        <w:trPr>
          <w:cantSplit/>
          <w:trHeight w:hRule="exact" w:val="80"/>
        </w:trPr>
        <w:tc>
          <w:tcPr>
            <w:tcW w:w="2197" w:type="dxa"/>
          </w:tcPr>
          <w:p w:rsidR="00A42325" w:rsidRDefault="00A42325">
            <w:pPr>
              <w:spacing w:before="60"/>
              <w:rPr>
                <w:rFonts w:ascii="CorporateSBQ" w:hAnsi="CorporateSBQ"/>
                <w:b/>
                <w:sz w:val="18"/>
              </w:rPr>
            </w:pPr>
          </w:p>
        </w:tc>
        <w:tc>
          <w:tcPr>
            <w:tcW w:w="3757" w:type="dxa"/>
          </w:tcPr>
          <w:p w:rsidR="00A42325" w:rsidRDefault="00A42325">
            <w:pPr>
              <w:tabs>
                <w:tab w:val="left" w:pos="1773"/>
              </w:tabs>
              <w:spacing w:before="60"/>
              <w:rPr>
                <w:b/>
                <w:sz w:val="18"/>
              </w:rPr>
            </w:pPr>
          </w:p>
        </w:tc>
        <w:tc>
          <w:tcPr>
            <w:tcW w:w="4181" w:type="dxa"/>
            <w:gridSpan w:val="2"/>
          </w:tcPr>
          <w:p w:rsidR="00A42325" w:rsidRDefault="00A42325">
            <w:pPr>
              <w:tabs>
                <w:tab w:val="left" w:pos="1773"/>
              </w:tabs>
              <w:spacing w:before="60"/>
              <w:rPr>
                <w:b/>
                <w:sz w:val="18"/>
              </w:rPr>
            </w:pPr>
          </w:p>
        </w:tc>
      </w:tr>
      <w:tr w:rsidR="00A42325">
        <w:trPr>
          <w:cantSplit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2325" w:rsidRDefault="00A42325">
            <w:pPr>
              <w:spacing w:before="60"/>
              <w:rPr>
                <w:rFonts w:ascii="CorporateSBQ" w:hAnsi="CorporateSBQ"/>
                <w:b/>
                <w:sz w:val="18"/>
              </w:rPr>
            </w:pPr>
            <w:r>
              <w:rPr>
                <w:rFonts w:ascii="CorporateSBQ" w:hAnsi="CorporateSBQ"/>
                <w:b/>
                <w:sz w:val="18"/>
              </w:rPr>
              <w:t>à l’attention de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2325" w:rsidRDefault="00E2069F" w:rsidP="00E2069F">
            <w:pPr>
              <w:tabs>
                <w:tab w:val="left" w:pos="1914"/>
              </w:tabs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Benoît TULEU</w:t>
            </w:r>
            <w:r w:rsidR="00A42325">
              <w:rPr>
                <w:b/>
                <w:sz w:val="18"/>
              </w:rPr>
              <w:t xml:space="preserve">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</w:tcBorders>
            <w:vAlign w:val="bottom"/>
          </w:tcPr>
          <w:p w:rsidR="00A42325" w:rsidRDefault="00A42325">
            <w:pPr>
              <w:tabs>
                <w:tab w:val="left" w:pos="1984"/>
              </w:tabs>
              <w:spacing w:before="60"/>
              <w:rPr>
                <w:b/>
                <w:sz w:val="18"/>
              </w:rPr>
            </w:pPr>
          </w:p>
        </w:tc>
      </w:tr>
      <w:tr w:rsidR="00A42325">
        <w:trPr>
          <w:cantSplit/>
        </w:trPr>
        <w:tc>
          <w:tcPr>
            <w:tcW w:w="2197" w:type="dxa"/>
          </w:tcPr>
          <w:p w:rsidR="00A42325" w:rsidRDefault="00A42325">
            <w:pPr>
              <w:spacing w:before="60"/>
              <w:rPr>
                <w:b/>
                <w:sz w:val="18"/>
              </w:rPr>
            </w:pPr>
          </w:p>
        </w:tc>
        <w:tc>
          <w:tcPr>
            <w:tcW w:w="3757" w:type="dxa"/>
          </w:tcPr>
          <w:p w:rsidR="00A42325" w:rsidRDefault="00A42325">
            <w:pPr>
              <w:tabs>
                <w:tab w:val="left" w:pos="1914"/>
              </w:tabs>
              <w:spacing w:before="60"/>
              <w:rPr>
                <w:b/>
                <w:sz w:val="18"/>
              </w:rPr>
            </w:pPr>
          </w:p>
        </w:tc>
        <w:tc>
          <w:tcPr>
            <w:tcW w:w="4181" w:type="dxa"/>
            <w:gridSpan w:val="2"/>
          </w:tcPr>
          <w:p w:rsidR="00A42325" w:rsidRDefault="00A42325">
            <w:pPr>
              <w:tabs>
                <w:tab w:val="left" w:pos="1984"/>
              </w:tabs>
              <w:spacing w:before="60"/>
              <w:rPr>
                <w:b/>
                <w:sz w:val="18"/>
              </w:rPr>
            </w:pPr>
          </w:p>
        </w:tc>
      </w:tr>
      <w:tr w:rsidR="00A42325">
        <w:trPr>
          <w:cantSplit/>
        </w:trPr>
        <w:tc>
          <w:tcPr>
            <w:tcW w:w="2197" w:type="dxa"/>
          </w:tcPr>
          <w:p w:rsidR="00A42325" w:rsidRDefault="00A42325">
            <w:pPr>
              <w:spacing w:before="60"/>
              <w:rPr>
                <w:b/>
                <w:sz w:val="18"/>
              </w:rPr>
            </w:pPr>
          </w:p>
        </w:tc>
        <w:tc>
          <w:tcPr>
            <w:tcW w:w="3757" w:type="dxa"/>
          </w:tcPr>
          <w:p w:rsidR="00A42325" w:rsidRDefault="00A42325">
            <w:pPr>
              <w:tabs>
                <w:tab w:val="left" w:pos="1914"/>
              </w:tabs>
              <w:spacing w:before="60"/>
              <w:rPr>
                <w:b/>
                <w:sz w:val="18"/>
              </w:rPr>
            </w:pPr>
          </w:p>
        </w:tc>
        <w:tc>
          <w:tcPr>
            <w:tcW w:w="4181" w:type="dxa"/>
            <w:gridSpan w:val="2"/>
          </w:tcPr>
          <w:p w:rsidR="00A42325" w:rsidRDefault="00A42325">
            <w:pPr>
              <w:tabs>
                <w:tab w:val="left" w:pos="1984"/>
              </w:tabs>
              <w:spacing w:before="60"/>
              <w:rPr>
                <w:b/>
                <w:sz w:val="18"/>
              </w:rPr>
            </w:pPr>
          </w:p>
        </w:tc>
      </w:tr>
      <w:tr w:rsidR="00A42325">
        <w:trPr>
          <w:cantSplit/>
        </w:trPr>
        <w:tc>
          <w:tcPr>
            <w:tcW w:w="2197" w:type="dxa"/>
          </w:tcPr>
          <w:p w:rsidR="00A42325" w:rsidRDefault="00A42325">
            <w:pPr>
              <w:spacing w:before="60"/>
              <w:rPr>
                <w:rFonts w:ascii="CorporateSBQ" w:hAnsi="CorporateSBQ"/>
                <w:b/>
                <w:sz w:val="18"/>
              </w:rPr>
            </w:pPr>
          </w:p>
        </w:tc>
        <w:tc>
          <w:tcPr>
            <w:tcW w:w="3757" w:type="dxa"/>
          </w:tcPr>
          <w:p w:rsidR="00A42325" w:rsidRDefault="00A42325">
            <w:pPr>
              <w:spacing w:before="60"/>
              <w:rPr>
                <w:b/>
                <w:sz w:val="18"/>
              </w:rPr>
            </w:pPr>
          </w:p>
        </w:tc>
        <w:tc>
          <w:tcPr>
            <w:tcW w:w="4181" w:type="dxa"/>
            <w:gridSpan w:val="2"/>
          </w:tcPr>
          <w:p w:rsidR="00A42325" w:rsidRDefault="00A42325">
            <w:pPr>
              <w:spacing w:before="60"/>
              <w:rPr>
                <w:b/>
                <w:sz w:val="18"/>
              </w:rPr>
            </w:pPr>
          </w:p>
        </w:tc>
      </w:tr>
      <w:tr w:rsidR="00A42325">
        <w:trPr>
          <w:cantSplit/>
        </w:trPr>
        <w:tc>
          <w:tcPr>
            <w:tcW w:w="2197" w:type="dxa"/>
          </w:tcPr>
          <w:p w:rsidR="00A42325" w:rsidRDefault="00A42325">
            <w:pPr>
              <w:spacing w:before="60"/>
              <w:rPr>
                <w:b/>
                <w:sz w:val="18"/>
              </w:rPr>
            </w:pPr>
          </w:p>
        </w:tc>
        <w:tc>
          <w:tcPr>
            <w:tcW w:w="3757" w:type="dxa"/>
          </w:tcPr>
          <w:p w:rsidR="00A42325" w:rsidRDefault="00A42325">
            <w:pPr>
              <w:tabs>
                <w:tab w:val="left" w:pos="1914"/>
              </w:tabs>
              <w:spacing w:before="60"/>
              <w:rPr>
                <w:b/>
                <w:sz w:val="18"/>
              </w:rPr>
            </w:pPr>
          </w:p>
        </w:tc>
        <w:tc>
          <w:tcPr>
            <w:tcW w:w="4181" w:type="dxa"/>
            <w:gridSpan w:val="2"/>
          </w:tcPr>
          <w:p w:rsidR="00A42325" w:rsidRDefault="00A42325">
            <w:pPr>
              <w:tabs>
                <w:tab w:val="left" w:pos="1984"/>
              </w:tabs>
              <w:spacing w:before="60"/>
              <w:rPr>
                <w:b/>
                <w:sz w:val="18"/>
              </w:rPr>
            </w:pPr>
          </w:p>
        </w:tc>
      </w:tr>
      <w:tr w:rsidR="00A42325">
        <w:trPr>
          <w:cantSplit/>
        </w:trPr>
        <w:tc>
          <w:tcPr>
            <w:tcW w:w="2197" w:type="dxa"/>
          </w:tcPr>
          <w:p w:rsidR="00A42325" w:rsidRDefault="00A42325">
            <w:pPr>
              <w:spacing w:before="60"/>
              <w:rPr>
                <w:rFonts w:ascii="CorporateSBQ" w:hAnsi="CorporateSBQ"/>
                <w:b/>
                <w:sz w:val="18"/>
              </w:rPr>
            </w:pPr>
          </w:p>
        </w:tc>
        <w:tc>
          <w:tcPr>
            <w:tcW w:w="3757" w:type="dxa"/>
          </w:tcPr>
          <w:p w:rsidR="00A42325" w:rsidRDefault="00A42325">
            <w:pPr>
              <w:tabs>
                <w:tab w:val="left" w:pos="1914"/>
              </w:tabs>
              <w:spacing w:before="60"/>
              <w:rPr>
                <w:b/>
                <w:sz w:val="18"/>
              </w:rPr>
            </w:pPr>
          </w:p>
        </w:tc>
        <w:tc>
          <w:tcPr>
            <w:tcW w:w="4181" w:type="dxa"/>
            <w:gridSpan w:val="2"/>
          </w:tcPr>
          <w:p w:rsidR="00A42325" w:rsidRDefault="00A42325">
            <w:pPr>
              <w:tabs>
                <w:tab w:val="left" w:pos="1984"/>
              </w:tabs>
              <w:spacing w:before="60"/>
              <w:rPr>
                <w:b/>
                <w:sz w:val="18"/>
              </w:rPr>
            </w:pPr>
          </w:p>
        </w:tc>
      </w:tr>
      <w:tr w:rsidR="00A42325">
        <w:trPr>
          <w:cantSplit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2325" w:rsidRDefault="00A42325">
            <w:pPr>
              <w:spacing w:before="60"/>
              <w:rPr>
                <w:rFonts w:ascii="CorporateSBQ" w:hAnsi="CorporateSBQ"/>
                <w:sz w:val="13"/>
              </w:rPr>
            </w:pPr>
            <w:r>
              <w:rPr>
                <w:rFonts w:ascii="CorporateSBQ" w:hAnsi="CorporateSBQ"/>
                <w:b/>
                <w:sz w:val="18"/>
              </w:rPr>
              <w:t>date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2325" w:rsidRDefault="00A42325">
            <w:pPr>
              <w:tabs>
                <w:tab w:val="left" w:pos="1773"/>
              </w:tabs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REF DateRef \@ "d MMMM yyyy" \*CHARFORMAT </w:instrText>
            </w:r>
            <w:r>
              <w:rPr>
                <w:b/>
                <w:sz w:val="18"/>
              </w:rPr>
              <w:fldChar w:fldCharType="separate"/>
            </w:r>
            <w:r w:rsidR="00B102B4">
              <w:rPr>
                <w:b/>
                <w:sz w:val="18"/>
              </w:rPr>
              <w:t>11 juin 2018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</w:tcBorders>
          </w:tcPr>
          <w:p w:rsidR="00A42325" w:rsidRDefault="00A42325">
            <w:pPr>
              <w:tabs>
                <w:tab w:val="left" w:pos="1773"/>
              </w:tabs>
              <w:spacing w:before="60"/>
              <w:rPr>
                <w:b/>
                <w:sz w:val="18"/>
              </w:rPr>
            </w:pPr>
          </w:p>
        </w:tc>
      </w:tr>
    </w:tbl>
    <w:p w:rsidR="0058088A" w:rsidRDefault="0058088A">
      <w:pPr>
        <w:spacing w:before="60"/>
        <w:rPr>
          <w:rFonts w:ascii="CorporateSBQ" w:hAnsi="CorporateSBQ"/>
          <w:b/>
          <w:sz w:val="18"/>
        </w:rPr>
        <w:sectPr w:rsidR="0058088A" w:rsidSect="001052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54" w:right="851" w:bottom="567" w:left="851" w:header="227" w:footer="227" w:gutter="0"/>
          <w:cols w:space="720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757"/>
        <w:gridCol w:w="4181"/>
      </w:tblGrid>
      <w:tr w:rsidR="00A42325">
        <w:trPr>
          <w:cantSplit/>
        </w:trPr>
        <w:tc>
          <w:tcPr>
            <w:tcW w:w="2197" w:type="dxa"/>
          </w:tcPr>
          <w:p w:rsidR="00A42325" w:rsidRDefault="00A42325">
            <w:pPr>
              <w:spacing w:before="60"/>
              <w:rPr>
                <w:rFonts w:ascii="CorporateSBQ" w:hAnsi="CorporateSBQ"/>
                <w:b/>
                <w:sz w:val="18"/>
              </w:rPr>
            </w:pPr>
          </w:p>
        </w:tc>
        <w:tc>
          <w:tcPr>
            <w:tcW w:w="3757" w:type="dxa"/>
          </w:tcPr>
          <w:p w:rsidR="00A42325" w:rsidRDefault="00A42325">
            <w:pPr>
              <w:tabs>
                <w:tab w:val="left" w:pos="1773"/>
              </w:tabs>
              <w:spacing w:before="60"/>
              <w:rPr>
                <w:b/>
                <w:sz w:val="18"/>
              </w:rPr>
            </w:pPr>
          </w:p>
        </w:tc>
        <w:tc>
          <w:tcPr>
            <w:tcW w:w="4181" w:type="dxa"/>
          </w:tcPr>
          <w:p w:rsidR="00A42325" w:rsidRDefault="00A42325">
            <w:pPr>
              <w:tabs>
                <w:tab w:val="left" w:pos="1773"/>
              </w:tabs>
              <w:spacing w:before="60"/>
              <w:rPr>
                <w:b/>
                <w:sz w:val="18"/>
              </w:rPr>
            </w:pPr>
          </w:p>
        </w:tc>
      </w:tr>
      <w:tr w:rsidR="00A42325">
        <w:trPr>
          <w:cantSplit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2325" w:rsidRDefault="00A42325">
            <w:pPr>
              <w:spacing w:before="60"/>
              <w:rPr>
                <w:rFonts w:ascii="CorporateSBQ" w:hAnsi="CorporateSBQ"/>
                <w:b/>
                <w:sz w:val="18"/>
              </w:rPr>
            </w:pPr>
            <w:r>
              <w:rPr>
                <w:rFonts w:ascii="CorporateSBQ" w:hAnsi="CorporateSBQ"/>
                <w:b/>
                <w:sz w:val="18"/>
              </w:rPr>
              <w:t>objet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2325" w:rsidRDefault="00941A14">
            <w:pPr>
              <w:spacing w:before="60"/>
              <w:rPr>
                <w:sz w:val="22"/>
              </w:rPr>
            </w:pPr>
            <w:bookmarkStart w:id="11" w:name="Subject"/>
            <w:r>
              <w:rPr>
                <w:b/>
                <w:sz w:val="24"/>
              </w:rPr>
              <w:t>Pour une définition du domaine français de l'internet et le périmètre de collecte au titre du dépôt légal : synthèse de la pré-étude confiée à Camille Tatger</w:t>
            </w:r>
            <w:bookmarkEnd w:id="11"/>
          </w:p>
        </w:tc>
      </w:tr>
      <w:tr w:rsidR="00A42325">
        <w:trPr>
          <w:cantSplit/>
        </w:trPr>
        <w:tc>
          <w:tcPr>
            <w:tcW w:w="2197" w:type="dxa"/>
            <w:tcBorders>
              <w:right w:val="single" w:sz="4" w:space="0" w:color="auto"/>
            </w:tcBorders>
            <w:vAlign w:val="bottom"/>
          </w:tcPr>
          <w:p w:rsidR="00A42325" w:rsidRDefault="00A42325">
            <w:pPr>
              <w:spacing w:before="40"/>
              <w:rPr>
                <w:rFonts w:ascii="CorporateSBQ" w:hAnsi="CorporateSBQ"/>
                <w:sz w:val="14"/>
              </w:rPr>
            </w:pPr>
            <w:r>
              <w:rPr>
                <w:rFonts w:ascii="CorporateSBQ" w:hAnsi="CorporateSBQ"/>
                <w:sz w:val="14"/>
              </w:rPr>
              <w:t>Votre dossier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vAlign w:val="bottom"/>
          </w:tcPr>
          <w:p w:rsidR="00A42325" w:rsidRDefault="00A42325">
            <w:pPr>
              <w:spacing w:before="40"/>
            </w:pPr>
          </w:p>
        </w:tc>
      </w:tr>
    </w:tbl>
    <w:tbl>
      <w:tblPr>
        <w:tblW w:w="928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"/>
        <w:gridCol w:w="479"/>
        <w:gridCol w:w="1740"/>
        <w:gridCol w:w="2432"/>
        <w:gridCol w:w="626"/>
        <w:gridCol w:w="1276"/>
        <w:gridCol w:w="162"/>
        <w:gridCol w:w="488"/>
        <w:gridCol w:w="2064"/>
      </w:tblGrid>
      <w:tr w:rsidR="00A42325">
        <w:trPr>
          <w:gridBefore w:val="5"/>
          <w:wBefore w:w="5295" w:type="dxa"/>
          <w:cantSplit/>
          <w:trHeight w:hRule="exact" w:val="120"/>
          <w:jc w:val="right"/>
        </w:trPr>
        <w:tc>
          <w:tcPr>
            <w:tcW w:w="1276" w:type="dxa"/>
          </w:tcPr>
          <w:p w:rsidR="00A42325" w:rsidRDefault="00A42325">
            <w:pPr>
              <w:framePr w:w="9072" w:h="851" w:hSpace="142" w:wrap="around" w:hAnchor="text" w:x="70" w:yAlign="bottom"/>
              <w:ind w:left="-211" w:firstLine="211"/>
              <w:rPr>
                <w:rFonts w:ascii="CorporateSBQ" w:hAnsi="CorporateSBQ"/>
                <w:sz w:val="14"/>
              </w:rPr>
            </w:pPr>
          </w:p>
        </w:tc>
        <w:tc>
          <w:tcPr>
            <w:tcW w:w="162" w:type="dxa"/>
          </w:tcPr>
          <w:p w:rsidR="00A42325" w:rsidRDefault="00A42325">
            <w:pPr>
              <w:framePr w:w="9072" w:h="851" w:hSpace="142" w:wrap="around" w:hAnchor="text" w:x="70" w:yAlign="bottom"/>
              <w:ind w:left="-211" w:firstLine="213"/>
              <w:rPr>
                <w:rFonts w:ascii="CorporateSBQ" w:hAnsi="CorporateSBQ"/>
                <w:sz w:val="14"/>
              </w:rPr>
            </w:pPr>
          </w:p>
        </w:tc>
        <w:tc>
          <w:tcPr>
            <w:tcW w:w="2552" w:type="dxa"/>
            <w:gridSpan w:val="2"/>
          </w:tcPr>
          <w:p w:rsidR="00A42325" w:rsidRDefault="00A42325">
            <w:pPr>
              <w:framePr w:w="9072" w:h="851" w:hSpace="142" w:wrap="around" w:hAnchor="text" w:x="70" w:yAlign="bottom"/>
              <w:ind w:left="-211" w:firstLine="213"/>
              <w:rPr>
                <w:rFonts w:ascii="CorporateSBQ" w:hAnsi="CorporateSBQ"/>
                <w:sz w:val="14"/>
              </w:rPr>
            </w:pPr>
          </w:p>
        </w:tc>
      </w:tr>
      <w:tr w:rsidR="00A42325">
        <w:trPr>
          <w:gridBefore w:val="1"/>
          <w:wBefore w:w="18" w:type="dxa"/>
          <w:trHeight w:hRule="exact" w:val="80"/>
          <w:jc w:val="right"/>
        </w:trPr>
        <w:tc>
          <w:tcPr>
            <w:tcW w:w="2219" w:type="dxa"/>
            <w:gridSpan w:val="2"/>
          </w:tcPr>
          <w:p w:rsidR="00A42325" w:rsidRDefault="00A42325">
            <w:pPr>
              <w:framePr w:w="9072" w:h="851" w:hSpace="142" w:wrap="around" w:hAnchor="text" w:x="70" w:yAlign="bottom"/>
              <w:ind w:left="-211" w:firstLine="211"/>
              <w:rPr>
                <w:rFonts w:ascii="CorporateSBQ" w:hAnsi="CorporateSBQ"/>
                <w:sz w:val="14"/>
              </w:rPr>
            </w:pPr>
          </w:p>
        </w:tc>
        <w:tc>
          <w:tcPr>
            <w:tcW w:w="2432" w:type="dxa"/>
          </w:tcPr>
          <w:p w:rsidR="00A42325" w:rsidRDefault="00A42325">
            <w:pPr>
              <w:framePr w:w="9072" w:h="851" w:hSpace="142" w:wrap="around" w:hAnchor="text" w:x="70" w:yAlign="bottom"/>
              <w:ind w:left="-211" w:firstLine="211"/>
              <w:rPr>
                <w:rFonts w:ascii="CorporateSBQ" w:hAnsi="CorporateSBQ"/>
                <w:sz w:val="14"/>
              </w:rPr>
            </w:pPr>
          </w:p>
        </w:tc>
        <w:tc>
          <w:tcPr>
            <w:tcW w:w="2552" w:type="dxa"/>
            <w:gridSpan w:val="4"/>
          </w:tcPr>
          <w:p w:rsidR="00A42325" w:rsidRDefault="00A42325">
            <w:pPr>
              <w:framePr w:w="9072" w:h="851" w:hSpace="142" w:wrap="around" w:hAnchor="text" w:x="70" w:yAlign="bottom"/>
              <w:ind w:left="-707" w:firstLine="709"/>
              <w:rPr>
                <w:rFonts w:ascii="CorporateSBQ" w:hAnsi="CorporateSBQ"/>
                <w:sz w:val="14"/>
              </w:rPr>
            </w:pPr>
          </w:p>
        </w:tc>
        <w:tc>
          <w:tcPr>
            <w:tcW w:w="2064" w:type="dxa"/>
          </w:tcPr>
          <w:p w:rsidR="00A42325" w:rsidRDefault="00A42325">
            <w:pPr>
              <w:framePr w:w="9072" w:h="851" w:hSpace="142" w:wrap="around" w:hAnchor="text" w:x="70" w:yAlign="bottom"/>
              <w:ind w:left="-707" w:firstLine="709"/>
              <w:rPr>
                <w:rFonts w:ascii="CorporateSBQ" w:hAnsi="CorporateSBQ"/>
                <w:sz w:val="14"/>
              </w:rPr>
            </w:pPr>
          </w:p>
        </w:tc>
      </w:tr>
      <w:tr w:rsidR="00A42325">
        <w:trPr>
          <w:cantSplit/>
          <w:jc w:val="right"/>
        </w:trPr>
        <w:tc>
          <w:tcPr>
            <w:tcW w:w="497" w:type="dxa"/>
            <w:gridSpan w:val="2"/>
          </w:tcPr>
          <w:p w:rsidR="00A42325" w:rsidRDefault="00A42325">
            <w:pPr>
              <w:framePr w:w="9072" w:h="851" w:hSpace="142" w:wrap="around" w:hAnchor="text" w:x="70" w:yAlign="bottom"/>
              <w:ind w:left="-211" w:firstLine="211"/>
              <w:rPr>
                <w:rFonts w:ascii="CorporateSBQ" w:hAnsi="CorporateSBQ"/>
                <w:sz w:val="14"/>
              </w:rPr>
            </w:pPr>
            <w:r>
              <w:rPr>
                <w:rFonts w:ascii="CorporateSBQ" w:hAnsi="CorporateSBQ"/>
                <w:sz w:val="14"/>
              </w:rPr>
              <w:t>Copies</w:t>
            </w:r>
          </w:p>
        </w:tc>
        <w:tc>
          <w:tcPr>
            <w:tcW w:w="8788" w:type="dxa"/>
            <w:gridSpan w:val="7"/>
          </w:tcPr>
          <w:p w:rsidR="00A42325" w:rsidRDefault="00E2069F">
            <w:pPr>
              <w:framePr w:w="9072" w:h="851" w:hSpace="142" w:wrap="around" w:hAnchor="text" w:x="70" w:yAlign="bottom"/>
              <w:rPr>
                <w:rFonts w:ascii="CorporateSBQ" w:hAnsi="CorporateSBQ"/>
                <w:sz w:val="14"/>
              </w:rPr>
            </w:pPr>
            <w:r>
              <w:rPr>
                <w:rFonts w:ascii="CorporateSBQ" w:hAnsi="CorporateSBQ"/>
                <w:sz w:val="14"/>
              </w:rPr>
              <w:t>DDL_DLN, DDL_CSA, DDL_CM</w:t>
            </w:r>
          </w:p>
        </w:tc>
      </w:tr>
    </w:tbl>
    <w:p w:rsidR="00A42325" w:rsidRDefault="00A42325" w:rsidP="00CE49F6">
      <w:pPr>
        <w:pStyle w:val="StyleCorpsnoteGauche35cm"/>
      </w:pPr>
    </w:p>
    <w:p w:rsidR="00CC0196" w:rsidRDefault="00CC0196" w:rsidP="004160A0">
      <w:pPr>
        <w:pStyle w:val="StyleCorpsnoteGauche35cm"/>
      </w:pPr>
      <w:r>
        <w:t>Le service du dépôt légal numérique a accueilli du 2 au 25 mai 2018</w:t>
      </w:r>
      <w:r w:rsidR="00EC4537">
        <w:t xml:space="preserve"> Camille Tatger, </w:t>
      </w:r>
      <w:r>
        <w:t xml:space="preserve">élève </w:t>
      </w:r>
      <w:r w:rsidR="00EC4537">
        <w:t xml:space="preserve">conservatrice du patrimoine </w:t>
      </w:r>
      <w:r>
        <w:t>dans le cadre de son stage hors spécialité à l’Institut national du patrimoine.</w:t>
      </w:r>
    </w:p>
    <w:p w:rsidR="00CC0196" w:rsidRDefault="00CC0196" w:rsidP="004160A0">
      <w:pPr>
        <w:pStyle w:val="StyleCorpsnoteGauche35cm"/>
      </w:pPr>
    </w:p>
    <w:p w:rsidR="00CC0196" w:rsidRDefault="00CC0196" w:rsidP="004160A0">
      <w:pPr>
        <w:pStyle w:val="StyleCorpsnoteGauche35cm"/>
      </w:pPr>
      <w:r>
        <w:t xml:space="preserve">L’objectif de la pré-étude qui lui a été confiée était </w:t>
      </w:r>
      <w:r w:rsidR="00EC4537">
        <w:t xml:space="preserve">d’initier une réflexion sur la mise en œuvre </w:t>
      </w:r>
      <w:r>
        <w:t>de sa mission de</w:t>
      </w:r>
      <w:r w:rsidR="00EC4537">
        <w:t xml:space="preserve"> dépôt légal de l’internet français</w:t>
      </w:r>
      <w:r>
        <w:t xml:space="preserve"> par la BnF et de formuler des propositions.</w:t>
      </w:r>
    </w:p>
    <w:p w:rsidR="00CC0196" w:rsidRDefault="00CC0196" w:rsidP="004160A0">
      <w:pPr>
        <w:pStyle w:val="StyleCorpsnoteGauche35cm"/>
      </w:pPr>
    </w:p>
    <w:p w:rsidR="001D40C6" w:rsidRDefault="001D40C6" w:rsidP="004160A0">
      <w:pPr>
        <w:pStyle w:val="StyleCorpsnoteGauche35cm"/>
      </w:pPr>
      <w:r>
        <w:t>Ces travaux</w:t>
      </w:r>
      <w:r w:rsidR="00CC0196">
        <w:t xml:space="preserve"> ont permis de valider des </w:t>
      </w:r>
      <w:r>
        <w:t xml:space="preserve">intuitions en leur donnant une assise chiffrée, et de dégager de premières orientations pour la conduite de l’édition 2018 de la collecte large. </w:t>
      </w:r>
    </w:p>
    <w:p w:rsidR="001D40C6" w:rsidRDefault="001D40C6" w:rsidP="004160A0">
      <w:pPr>
        <w:pStyle w:val="StyleCorpsnoteGauche35cm"/>
      </w:pPr>
    </w:p>
    <w:p w:rsidR="001D40C6" w:rsidRDefault="001D40C6" w:rsidP="004160A0">
      <w:pPr>
        <w:pStyle w:val="StyleCorpsnoteGauche35cm"/>
      </w:pPr>
      <w:r>
        <w:t>Un accompagnement par la délégation à la Stratégie ou un prestataire extérieur permettrait au service de prolonger la réflexion fondamentale engagée à l’occasion de ce stage.</w:t>
      </w:r>
    </w:p>
    <w:p w:rsidR="001D40C6" w:rsidRDefault="001D40C6" w:rsidP="004160A0">
      <w:pPr>
        <w:pStyle w:val="StyleCorpsnoteGauche35cm"/>
      </w:pPr>
    </w:p>
    <w:p w:rsidR="001D40C6" w:rsidRDefault="001D40C6" w:rsidP="001D40C6">
      <w:pPr>
        <w:pStyle w:val="StyleCorpsnoteGauche35cm"/>
      </w:pPr>
      <w:r>
        <w:t xml:space="preserve">Non contente de ré-interroger les pratiques de la BnF, cette pré-étude a mis en évidence la nécessité </w:t>
      </w:r>
      <w:r w:rsidR="00CA3565">
        <w:t xml:space="preserve">d’expliciter </w:t>
      </w:r>
      <w:r>
        <w:t xml:space="preserve">les choix, scientifiques ou techniques, ayant présidé à </w:t>
      </w:r>
      <w:r w:rsidR="00CA3565">
        <w:t>la constitution des collections afin qu’ils soient intelligibles par les chercheurs de demain.</w:t>
      </w:r>
    </w:p>
    <w:p w:rsidR="001D40C6" w:rsidRDefault="001D40C6" w:rsidP="001D40C6">
      <w:pPr>
        <w:pStyle w:val="StyleCorpsnoteGauche35cm"/>
      </w:pPr>
    </w:p>
    <w:p w:rsidR="001D40C6" w:rsidRDefault="001D40C6" w:rsidP="001D40C6">
      <w:pPr>
        <w:pStyle w:val="StyleCorpsnoteGauche35cm"/>
      </w:pPr>
    </w:p>
    <w:p w:rsidR="00A621A0" w:rsidRPr="005640F6" w:rsidRDefault="00A621A0" w:rsidP="004160A0">
      <w:pPr>
        <w:pStyle w:val="StyleCorpsnoteGauche35cm"/>
        <w:rPr>
          <w:b/>
          <w:i/>
          <w:sz w:val="22"/>
          <w:szCs w:val="22"/>
        </w:rPr>
      </w:pPr>
      <w:r w:rsidRPr="005640F6">
        <w:rPr>
          <w:b/>
          <w:i/>
          <w:sz w:val="22"/>
          <w:szCs w:val="22"/>
        </w:rPr>
        <w:t xml:space="preserve">Ce que </w:t>
      </w:r>
      <w:r w:rsidR="00C32A64" w:rsidRPr="005640F6">
        <w:rPr>
          <w:b/>
          <w:i/>
          <w:sz w:val="22"/>
          <w:szCs w:val="22"/>
        </w:rPr>
        <w:t>disent</w:t>
      </w:r>
      <w:r w:rsidRPr="005640F6">
        <w:rPr>
          <w:b/>
          <w:i/>
          <w:sz w:val="22"/>
          <w:szCs w:val="22"/>
        </w:rPr>
        <w:t xml:space="preserve"> les textes</w:t>
      </w:r>
    </w:p>
    <w:p w:rsidR="00A621A0" w:rsidRDefault="00A621A0" w:rsidP="004160A0">
      <w:pPr>
        <w:pStyle w:val="StyleCorpsnoteGauche35cm"/>
      </w:pPr>
    </w:p>
    <w:p w:rsidR="00A621A0" w:rsidRDefault="00A621A0" w:rsidP="004160A0">
      <w:pPr>
        <w:pStyle w:val="StyleCorpsnoteGauche35cm"/>
      </w:pPr>
      <w:r>
        <w:t xml:space="preserve">Le dépôt légal de l’internet français est encadré par </w:t>
      </w:r>
      <w:r w:rsidR="004160A0">
        <w:t xml:space="preserve"> la loi DADVSI de 2006 et de son décret d’application de 2011, codifiés dans le Code du </w:t>
      </w:r>
      <w:r>
        <w:t>p</w:t>
      </w:r>
      <w:r w:rsidR="004160A0">
        <w:t>atrimoine</w:t>
      </w:r>
      <w:r>
        <w:t>.</w:t>
      </w:r>
    </w:p>
    <w:p w:rsidR="00A621A0" w:rsidRDefault="00A621A0" w:rsidP="004160A0">
      <w:pPr>
        <w:pStyle w:val="StyleCorpsnoteGauche35cm"/>
      </w:pPr>
    </w:p>
    <w:p w:rsidR="00A621A0" w:rsidRDefault="00A621A0" w:rsidP="004160A0">
      <w:pPr>
        <w:pStyle w:val="StyleCorpsnoteGauche35cm"/>
      </w:pPr>
      <w:r>
        <w:t>Il</w:t>
      </w:r>
      <w:r w:rsidR="00550D03">
        <w:t xml:space="preserve"> vise les </w:t>
      </w:r>
      <w:r w:rsidR="00550D03" w:rsidRPr="00C32A64">
        <w:rPr>
          <w:b/>
        </w:rPr>
        <w:t>contenus publiés</w:t>
      </w:r>
      <w:r w:rsidR="00550D03">
        <w:t xml:space="preserve"> en dehors du cercle de la famille par </w:t>
      </w:r>
      <w:r w:rsidR="00550D03" w:rsidRPr="00C32A64">
        <w:rPr>
          <w:b/>
        </w:rPr>
        <w:t>voie électronique</w:t>
      </w:r>
      <w:r w:rsidR="00550D03">
        <w:t xml:space="preserve"> ressortissant du </w:t>
      </w:r>
      <w:r w:rsidR="00550D03" w:rsidRPr="00C32A64">
        <w:rPr>
          <w:b/>
        </w:rPr>
        <w:t>domaine français</w:t>
      </w:r>
      <w:r w:rsidR="00550D03">
        <w:t>, entendu comme</w:t>
      </w:r>
      <w:r>
        <w:t xml:space="preserve"> les services de communication au public, ou sites internet :</w:t>
      </w:r>
    </w:p>
    <w:p w:rsidR="00A621A0" w:rsidRDefault="00550D03" w:rsidP="00A621A0">
      <w:pPr>
        <w:pStyle w:val="StyleCorpsnoteGauche35cm"/>
        <w:numPr>
          <w:ilvl w:val="0"/>
          <w:numId w:val="4"/>
        </w:numPr>
      </w:pPr>
      <w:r>
        <w:t>e</w:t>
      </w:r>
      <w:r w:rsidRPr="00550D03">
        <w:t>nregistrés sous le nom de domaine. fr ou tout autre nom de domaine enregistré auprès du ou des organismes français cha</w:t>
      </w:r>
      <w:r w:rsidR="00A621A0">
        <w:t>rgés de la gestion de ces noms ;</w:t>
      </w:r>
    </w:p>
    <w:p w:rsidR="00A621A0" w:rsidRDefault="00550D03" w:rsidP="00A621A0">
      <w:pPr>
        <w:pStyle w:val="StyleCorpsnoteGauche35cm"/>
        <w:numPr>
          <w:ilvl w:val="0"/>
          <w:numId w:val="4"/>
        </w:numPr>
      </w:pPr>
      <w:r w:rsidRPr="00550D03">
        <w:t xml:space="preserve">enregistrés par une personne domiciliée en </w:t>
      </w:r>
      <w:r w:rsidR="00A621A0">
        <w:t>France ;</w:t>
      </w:r>
    </w:p>
    <w:p w:rsidR="004160A0" w:rsidRDefault="00550D03" w:rsidP="00A621A0">
      <w:pPr>
        <w:pStyle w:val="StyleCorpsnoteGauche35cm"/>
        <w:numPr>
          <w:ilvl w:val="0"/>
          <w:numId w:val="4"/>
        </w:numPr>
      </w:pPr>
      <w:r w:rsidRPr="00550D03">
        <w:t>ou produits sur le territoire français</w:t>
      </w:r>
      <w:r w:rsidR="00A621A0">
        <w:t>.</w:t>
      </w:r>
    </w:p>
    <w:p w:rsidR="00A621A0" w:rsidRDefault="00A621A0" w:rsidP="00A621A0">
      <w:pPr>
        <w:pStyle w:val="StyleCorpsnoteGauche35cm"/>
      </w:pPr>
    </w:p>
    <w:p w:rsidR="00E2069F" w:rsidRDefault="00E2069F">
      <w:r>
        <w:br w:type="page"/>
      </w:r>
    </w:p>
    <w:p w:rsidR="00A621A0" w:rsidRDefault="00A621A0" w:rsidP="00A621A0">
      <w:pPr>
        <w:pStyle w:val="StyleCorpsnoteGauche35cm"/>
      </w:pPr>
      <w:r>
        <w:lastRenderedPageBreak/>
        <w:t xml:space="preserve">La </w:t>
      </w:r>
      <w:proofErr w:type="spellStart"/>
      <w:r>
        <w:t>BnF</w:t>
      </w:r>
      <w:proofErr w:type="spellEnd"/>
      <w:r>
        <w:t xml:space="preserve"> est tenue de réaliser, </w:t>
      </w:r>
      <w:proofErr w:type="gramStart"/>
      <w:r w:rsidRPr="00A621A0">
        <w:rPr>
          <w:i/>
        </w:rPr>
        <w:t>a</w:t>
      </w:r>
      <w:proofErr w:type="gramEnd"/>
      <w:r w:rsidRPr="00A621A0">
        <w:rPr>
          <w:i/>
        </w:rPr>
        <w:t xml:space="preserve"> minima</w:t>
      </w:r>
      <w:r>
        <w:t xml:space="preserve">, une </w:t>
      </w:r>
      <w:r w:rsidRPr="00A621A0">
        <w:rPr>
          <w:b/>
        </w:rPr>
        <w:t>collecte annuelle</w:t>
      </w:r>
      <w:r>
        <w:t xml:space="preserve"> de ces contenus. Elle peut solliciter auprès des éditeurs la </w:t>
      </w:r>
      <w:r w:rsidRPr="00B52807">
        <w:rPr>
          <w:b/>
        </w:rPr>
        <w:t>fourniture de mots de passe et clés d’accès</w:t>
      </w:r>
      <w:r>
        <w:t xml:space="preserve"> aux documents protégés.</w:t>
      </w:r>
    </w:p>
    <w:p w:rsidR="00B91290" w:rsidRDefault="00B91290" w:rsidP="00A621A0">
      <w:pPr>
        <w:pStyle w:val="StyleCorpsnoteGauche35cm"/>
      </w:pPr>
    </w:p>
    <w:p w:rsidR="001D40C6" w:rsidRDefault="001D40C6" w:rsidP="00A621A0">
      <w:pPr>
        <w:pStyle w:val="StyleCorpsnoteGauche35cm"/>
      </w:pPr>
    </w:p>
    <w:p w:rsidR="00A621A0" w:rsidRPr="005640F6" w:rsidRDefault="007F2D6A" w:rsidP="00A621A0">
      <w:pPr>
        <w:pStyle w:val="StyleCorpsnoteGauche35cm"/>
        <w:rPr>
          <w:b/>
          <w:i/>
          <w:sz w:val="22"/>
          <w:szCs w:val="22"/>
        </w:rPr>
      </w:pPr>
      <w:r w:rsidRPr="005640F6">
        <w:rPr>
          <w:b/>
          <w:i/>
          <w:sz w:val="22"/>
          <w:szCs w:val="22"/>
        </w:rPr>
        <w:t>Ce que</w:t>
      </w:r>
      <w:r w:rsidR="00A621A0" w:rsidRPr="005640F6">
        <w:rPr>
          <w:b/>
          <w:i/>
          <w:sz w:val="22"/>
          <w:szCs w:val="22"/>
        </w:rPr>
        <w:t xml:space="preserve"> fait la </w:t>
      </w:r>
      <w:r w:rsidR="00C32A64" w:rsidRPr="005640F6">
        <w:rPr>
          <w:b/>
          <w:i/>
          <w:sz w:val="22"/>
          <w:szCs w:val="22"/>
        </w:rPr>
        <w:t>Bibliothèque nationale de France</w:t>
      </w:r>
    </w:p>
    <w:p w:rsidR="007F2D6A" w:rsidRDefault="007F2D6A" w:rsidP="007F2D6A">
      <w:pPr>
        <w:pStyle w:val="StyleCorpsnoteGauche35cm"/>
      </w:pPr>
    </w:p>
    <w:p w:rsidR="00B52807" w:rsidRDefault="007F2D6A" w:rsidP="00B52807">
      <w:pPr>
        <w:pStyle w:val="StyleCorpsnoteGauche35cm"/>
      </w:pPr>
      <w:r>
        <w:t xml:space="preserve">La BnF fait intervenir un principe de </w:t>
      </w:r>
      <w:r w:rsidRPr="00B52807">
        <w:rPr>
          <w:b/>
        </w:rPr>
        <w:t>représentativité</w:t>
      </w:r>
      <w:r w:rsidRPr="00C32A64">
        <w:t xml:space="preserve"> qui n’apparaît </w:t>
      </w:r>
      <w:r w:rsidR="00A55937">
        <w:t>pas dans</w:t>
      </w:r>
      <w:r w:rsidRPr="00C32A64">
        <w:t xml:space="preserve"> les textes.</w:t>
      </w:r>
      <w:r w:rsidR="007F72A5">
        <w:t xml:space="preserve"> </w:t>
      </w:r>
      <w:r w:rsidR="00B52807">
        <w:t>Son modèle de collecte</w:t>
      </w:r>
      <w:r w:rsidR="00C32A64">
        <w:t xml:space="preserve">, similaire à celui des autres bibliothèques nationales qui archivent le web </w:t>
      </w:r>
      <w:r w:rsidR="00A55937">
        <w:t>à</w:t>
      </w:r>
      <w:bookmarkStart w:id="12" w:name="_GoBack"/>
      <w:bookmarkEnd w:id="12"/>
      <w:r w:rsidR="00C32A64">
        <w:t xml:space="preserve"> travers le monde,</w:t>
      </w:r>
      <w:r w:rsidR="00B52807">
        <w:t xml:space="preserve"> </w:t>
      </w:r>
      <w:r w:rsidR="007F72A5">
        <w:t xml:space="preserve">repose sur la </w:t>
      </w:r>
      <w:r w:rsidR="007F72A5" w:rsidRPr="007F72A5">
        <w:rPr>
          <w:b/>
        </w:rPr>
        <w:t>complémentarité</w:t>
      </w:r>
      <w:r w:rsidR="007F72A5">
        <w:t xml:space="preserve"> entre</w:t>
      </w:r>
      <w:r w:rsidR="00B52807">
        <w:t> :</w:t>
      </w:r>
    </w:p>
    <w:p w:rsidR="00B52807" w:rsidRDefault="00B52807" w:rsidP="00B52807">
      <w:pPr>
        <w:pStyle w:val="StyleCorpsnoteGauche35cm"/>
        <w:numPr>
          <w:ilvl w:val="0"/>
          <w:numId w:val="4"/>
        </w:numPr>
      </w:pPr>
      <w:r>
        <w:t xml:space="preserve">une </w:t>
      </w:r>
      <w:r w:rsidRPr="007F72A5">
        <w:t>collecte « large »,</w:t>
      </w:r>
      <w:r w:rsidR="007104A6">
        <w:t xml:space="preserve"> annuelle,</w:t>
      </w:r>
      <w:r>
        <w:t xml:space="preserve"> à partir de listes de sites recueillies </w:t>
      </w:r>
      <w:r w:rsidR="007104A6">
        <w:t>par l’intermédiaire</w:t>
      </w:r>
      <w:r>
        <w:t xml:space="preserve"> de bureaux d’enregistrement </w:t>
      </w:r>
      <w:r w:rsidR="007104A6">
        <w:t>partenaires, avec un budget, c’est-à-dire un nombre de fichiers collectés, identique pour tous les sites ;</w:t>
      </w:r>
    </w:p>
    <w:p w:rsidR="00B52807" w:rsidRDefault="007F72A5" w:rsidP="00B52807">
      <w:pPr>
        <w:pStyle w:val="StyleCorpsnoteGauche35cm"/>
        <w:numPr>
          <w:ilvl w:val="0"/>
          <w:numId w:val="4"/>
        </w:numPr>
      </w:pPr>
      <w:r>
        <w:t xml:space="preserve">et </w:t>
      </w:r>
      <w:r w:rsidR="00B52807">
        <w:t>des collectes « ciblées », à partir de listes de sites constituées par des bibliothécaires</w:t>
      </w:r>
      <w:r w:rsidR="007104A6">
        <w:t xml:space="preserve">, et organisées de manière thématique, avec des paramètres de fréquence, de profondeur et de budget </w:t>
      </w:r>
      <w:r w:rsidR="008F6BCE">
        <w:t>variables</w:t>
      </w:r>
      <w:r w:rsidR="007104A6">
        <w:t>.</w:t>
      </w:r>
    </w:p>
    <w:p w:rsidR="007104A6" w:rsidRDefault="007104A6" w:rsidP="007104A6">
      <w:pPr>
        <w:pStyle w:val="StyleCorpsnoteGauche35cm"/>
      </w:pPr>
    </w:p>
    <w:p w:rsidR="00D616E5" w:rsidRDefault="00D616E5" w:rsidP="007104A6">
      <w:pPr>
        <w:pStyle w:val="StyleCorpsnoteGauche35cm"/>
      </w:pPr>
      <w:r>
        <w:t xml:space="preserve">Le seuil </w:t>
      </w:r>
      <w:r w:rsidRPr="00D616E5">
        <w:t>d’</w:t>
      </w:r>
      <w:r w:rsidRPr="00D616E5">
        <w:rPr>
          <w:b/>
        </w:rPr>
        <w:t>accroissement annuel</w:t>
      </w:r>
      <w:r>
        <w:t xml:space="preserve"> a été fixé à </w:t>
      </w:r>
      <w:r w:rsidRPr="00D616E5">
        <w:rPr>
          <w:b/>
        </w:rPr>
        <w:t>150 To</w:t>
      </w:r>
      <w:r>
        <w:t>, à répartir entre l</w:t>
      </w:r>
      <w:r w:rsidR="007104A6">
        <w:t xml:space="preserve">a </w:t>
      </w:r>
      <w:r w:rsidR="007104A6" w:rsidRPr="007F72A5">
        <w:rPr>
          <w:b/>
        </w:rPr>
        <w:t>collecte large</w:t>
      </w:r>
      <w:r>
        <w:t xml:space="preserve">, qui </w:t>
      </w:r>
      <w:r w:rsidR="007104A6">
        <w:t xml:space="preserve">porte sur près de </w:t>
      </w:r>
      <w:r w:rsidR="007F72A5" w:rsidRPr="008F6BCE">
        <w:rPr>
          <w:b/>
        </w:rPr>
        <w:t>4,5 millions</w:t>
      </w:r>
      <w:r w:rsidR="007104A6" w:rsidRPr="008F6BCE">
        <w:rPr>
          <w:b/>
        </w:rPr>
        <w:t xml:space="preserve"> de sites</w:t>
      </w:r>
      <w:r w:rsidR="007104A6">
        <w:t xml:space="preserve">, </w:t>
      </w:r>
      <w:r>
        <w:t xml:space="preserve">et les </w:t>
      </w:r>
      <w:r w:rsidRPr="007F72A5">
        <w:rPr>
          <w:b/>
        </w:rPr>
        <w:t>collectes ciblées</w:t>
      </w:r>
      <w:r>
        <w:t xml:space="preserve"> qui</w:t>
      </w:r>
      <w:r w:rsidR="002A41E0">
        <w:t xml:space="preserve"> concernent </w:t>
      </w:r>
      <w:r w:rsidR="007104A6" w:rsidRPr="008F6BCE">
        <w:rPr>
          <w:b/>
        </w:rPr>
        <w:t xml:space="preserve">quelques dizaines de milliers </w:t>
      </w:r>
      <w:r w:rsidRPr="008F6BCE">
        <w:rPr>
          <w:b/>
        </w:rPr>
        <w:t>de sites</w:t>
      </w:r>
      <w:r w:rsidR="002A41E0">
        <w:t>.</w:t>
      </w:r>
    </w:p>
    <w:p w:rsidR="00DD05F1" w:rsidRDefault="00DD05F1" w:rsidP="007104A6">
      <w:pPr>
        <w:pStyle w:val="StyleCorpsnoteGauche35cm"/>
      </w:pPr>
    </w:p>
    <w:p w:rsidR="00C02342" w:rsidRDefault="002A41E0" w:rsidP="007104A6">
      <w:pPr>
        <w:pStyle w:val="StyleCorpsnoteGauche35cm"/>
      </w:pPr>
      <w:r>
        <w:t>La BnF</w:t>
      </w:r>
      <w:r w:rsidR="00C02342">
        <w:t xml:space="preserve"> sollicite les éditeurs uniquement </w:t>
      </w:r>
      <w:r w:rsidR="005640F6">
        <w:t>dans le but de</w:t>
      </w:r>
      <w:r w:rsidR="00C02342">
        <w:t xml:space="preserve"> collecter certains </w:t>
      </w:r>
      <w:r w:rsidR="00C02342" w:rsidRPr="00C02342">
        <w:rPr>
          <w:b/>
        </w:rPr>
        <w:t>titres de presse</w:t>
      </w:r>
      <w:r w:rsidR="00C02342">
        <w:t xml:space="preserve"> ou </w:t>
      </w:r>
      <w:r w:rsidR="00C02342" w:rsidRPr="00C02342">
        <w:rPr>
          <w:b/>
        </w:rPr>
        <w:t>publications</w:t>
      </w:r>
      <w:r w:rsidR="00C02342">
        <w:t xml:space="preserve"> car </w:t>
      </w:r>
      <w:r w:rsidR="005640F6">
        <w:t>les échanges initiaux, les instructions préalables et les opérations de maintenance sont coûteuses, et sans garantie de succès.</w:t>
      </w:r>
    </w:p>
    <w:p w:rsidR="005640F6" w:rsidRDefault="005640F6" w:rsidP="007104A6">
      <w:pPr>
        <w:pStyle w:val="StyleCorpsnoteGauche35cm"/>
      </w:pPr>
    </w:p>
    <w:p w:rsidR="002A41E0" w:rsidRDefault="00C02342" w:rsidP="007104A6">
      <w:pPr>
        <w:pStyle w:val="StyleCorpsnoteGauche35cm"/>
      </w:pPr>
      <w:r>
        <w:t>Elle</w:t>
      </w:r>
      <w:r w:rsidR="002A41E0">
        <w:t xml:space="preserve"> s’interdit de collecter</w:t>
      </w:r>
      <w:r>
        <w:t xml:space="preserve"> </w:t>
      </w:r>
      <w:r w:rsidR="005640F6">
        <w:t xml:space="preserve">les </w:t>
      </w:r>
      <w:r w:rsidR="005640F6" w:rsidRPr="00EA1BD1">
        <w:rPr>
          <w:b/>
        </w:rPr>
        <w:t>réseaux sociaux</w:t>
      </w:r>
      <w:r w:rsidR="005640F6">
        <w:t xml:space="preserve">, à l’exception des comptes des personnalités publiques et des organisations, et de rares hashtags, les </w:t>
      </w:r>
      <w:r w:rsidR="005640F6" w:rsidRPr="00EA1BD1">
        <w:rPr>
          <w:b/>
        </w:rPr>
        <w:t>intranets</w:t>
      </w:r>
      <w:r w:rsidR="005640F6">
        <w:t xml:space="preserve"> et </w:t>
      </w:r>
      <w:r>
        <w:t>les</w:t>
      </w:r>
      <w:r w:rsidR="002A41E0">
        <w:t xml:space="preserve"> </w:t>
      </w:r>
      <w:r w:rsidR="00EA1BD1" w:rsidRPr="00EA1BD1">
        <w:rPr>
          <w:b/>
        </w:rPr>
        <w:t>contenus en accès protégé</w:t>
      </w:r>
      <w:r w:rsidR="00EA1BD1">
        <w:t xml:space="preserve">, </w:t>
      </w:r>
      <w:r w:rsidR="005640F6">
        <w:t>sauf cas mentionnés ci-dessus.</w:t>
      </w:r>
    </w:p>
    <w:p w:rsidR="002A41E0" w:rsidRDefault="002A41E0" w:rsidP="007104A6">
      <w:pPr>
        <w:pStyle w:val="StyleCorpsnoteGauche35cm"/>
      </w:pPr>
    </w:p>
    <w:p w:rsidR="005640F6" w:rsidRPr="00CA3565" w:rsidRDefault="005640F6" w:rsidP="005640F6">
      <w:pPr>
        <w:pStyle w:val="StyleCorpsnoteGauche35cm"/>
        <w:rPr>
          <w:color w:val="7030A0"/>
        </w:rPr>
      </w:pPr>
      <w:r w:rsidRPr="00CA3565">
        <w:rPr>
          <w:color w:val="7030A0"/>
          <w:u w:val="single"/>
        </w:rPr>
        <w:t>Proposition n°</w:t>
      </w:r>
      <w:r w:rsidR="001D40C6" w:rsidRPr="00CA3565">
        <w:rPr>
          <w:color w:val="7030A0"/>
          <w:u w:val="single"/>
        </w:rPr>
        <w:t>1</w:t>
      </w:r>
      <w:r w:rsidRPr="00CA3565">
        <w:rPr>
          <w:color w:val="7030A0"/>
          <w:u w:val="single"/>
        </w:rPr>
        <w:t>:</w:t>
      </w:r>
      <w:r w:rsidR="00E2069F">
        <w:rPr>
          <w:color w:val="7030A0"/>
        </w:rPr>
        <w:t xml:space="preserve"> Etudier l’opportunité </w:t>
      </w:r>
      <w:r w:rsidRPr="00CA3565">
        <w:rPr>
          <w:color w:val="7030A0"/>
        </w:rPr>
        <w:t>de solliciter un nouvel avis de la CNIL pour préciser le statut des contenus échangés publiquement sur les réseaux sociaux.</w:t>
      </w:r>
    </w:p>
    <w:p w:rsidR="005640F6" w:rsidRDefault="005640F6" w:rsidP="007104A6">
      <w:pPr>
        <w:pStyle w:val="StyleCorpsnoteGauche35cm"/>
      </w:pPr>
    </w:p>
    <w:p w:rsidR="001D40C6" w:rsidRDefault="001D40C6" w:rsidP="007104A6">
      <w:pPr>
        <w:pStyle w:val="StyleCorpsnoteGauche35cm"/>
      </w:pPr>
    </w:p>
    <w:p w:rsidR="00C02342" w:rsidRPr="005640F6" w:rsidRDefault="00C02342" w:rsidP="00C02342">
      <w:pPr>
        <w:pStyle w:val="StyleCorpsnoteGauche35cm"/>
        <w:rPr>
          <w:b/>
          <w:i/>
          <w:sz w:val="22"/>
          <w:szCs w:val="22"/>
        </w:rPr>
      </w:pPr>
      <w:r w:rsidRPr="005640F6">
        <w:rPr>
          <w:b/>
          <w:i/>
          <w:sz w:val="22"/>
          <w:szCs w:val="22"/>
        </w:rPr>
        <w:t>Faire progresser la couverture du domaine français</w:t>
      </w:r>
    </w:p>
    <w:p w:rsidR="00C02342" w:rsidRDefault="00C02342" w:rsidP="007104A6">
      <w:pPr>
        <w:pStyle w:val="StyleCorpsnoteGauche35cm"/>
      </w:pPr>
    </w:p>
    <w:p w:rsidR="00DD05F1" w:rsidRDefault="00EA1BD1" w:rsidP="00DD05F1">
      <w:pPr>
        <w:pStyle w:val="StyleCorpsnoteGauche35cm"/>
      </w:pPr>
      <w:r>
        <w:t xml:space="preserve">Au-delà de ces </w:t>
      </w:r>
      <w:r w:rsidRPr="00EA1BD1">
        <w:rPr>
          <w:b/>
        </w:rPr>
        <w:t>restrictions de principe</w:t>
      </w:r>
      <w:r>
        <w:t xml:space="preserve">, la collecte par la BnF se heurte à des </w:t>
      </w:r>
      <w:r w:rsidRPr="00EA1BD1">
        <w:rPr>
          <w:b/>
        </w:rPr>
        <w:t>limites</w:t>
      </w:r>
      <w:r>
        <w:t>.</w:t>
      </w:r>
    </w:p>
    <w:p w:rsidR="0004028B" w:rsidRDefault="0004028B" w:rsidP="00DD05F1">
      <w:pPr>
        <w:pStyle w:val="StyleCorpsnoteGauche35cm"/>
      </w:pPr>
    </w:p>
    <w:p w:rsidR="002A33AE" w:rsidRDefault="00EA1BD1" w:rsidP="00EA1BD1">
      <w:pPr>
        <w:pStyle w:val="StyleCorpsnoteGauche35cm"/>
        <w:numPr>
          <w:ilvl w:val="0"/>
          <w:numId w:val="5"/>
        </w:numPr>
      </w:pPr>
      <w:r>
        <w:t>Concernant la c</w:t>
      </w:r>
      <w:r w:rsidR="002A33AE">
        <w:t>ollecte large</w:t>
      </w:r>
    </w:p>
    <w:p w:rsidR="00B91290" w:rsidRDefault="00B91290" w:rsidP="002A33AE">
      <w:pPr>
        <w:pStyle w:val="StyleCorpsnoteGauche35cm"/>
      </w:pPr>
    </w:p>
    <w:p w:rsidR="002362CD" w:rsidRDefault="002A33AE" w:rsidP="002A33AE">
      <w:pPr>
        <w:pStyle w:val="StyleCorpsnoteGauche35cm"/>
      </w:pPr>
      <w:r>
        <w:t xml:space="preserve">Le recours aux bureaux d’enregistrement est le seul moyen </w:t>
      </w:r>
      <w:r w:rsidR="00C23B5D">
        <w:t xml:space="preserve">qui permette à </w:t>
      </w:r>
      <w:r>
        <w:t xml:space="preserve">la BnF </w:t>
      </w:r>
      <w:r w:rsidR="00C23B5D">
        <w:t>d’identifier,</w:t>
      </w:r>
      <w:r w:rsidR="00EA1BD1">
        <w:t xml:space="preserve"> à un niveau macro,</w:t>
      </w:r>
      <w:r>
        <w:t xml:space="preserve"> les sites internet ressortissant du domaine français.</w:t>
      </w:r>
      <w:r w:rsidR="00C23B5D">
        <w:t xml:space="preserve"> Pour autant, rien </w:t>
      </w:r>
      <w:r w:rsidR="002362CD">
        <w:t xml:space="preserve">ne contraint ces acteurs </w:t>
      </w:r>
      <w:r w:rsidR="00D32DAF">
        <w:t>à</w:t>
      </w:r>
      <w:r w:rsidR="00C23B5D">
        <w:t xml:space="preserve"> collaborer. </w:t>
      </w:r>
    </w:p>
    <w:p w:rsidR="002362CD" w:rsidRDefault="002362CD" w:rsidP="002A33AE">
      <w:pPr>
        <w:pStyle w:val="StyleCorpsnoteGauche35cm"/>
      </w:pPr>
    </w:p>
    <w:p w:rsidR="002A33AE" w:rsidRDefault="00C23B5D" w:rsidP="002A33AE">
      <w:pPr>
        <w:pStyle w:val="StyleCorpsnoteGauche35cm"/>
      </w:pPr>
      <w:r>
        <w:t xml:space="preserve">La gestion des noms de domaine est complexe, avec des risques de recouvrement : en France, 18 opérateurs </w:t>
      </w:r>
      <w:r w:rsidR="002362CD">
        <w:t xml:space="preserve">sont </w:t>
      </w:r>
      <w:r>
        <w:t xml:space="preserve">accrédités par l’ICANN. </w:t>
      </w:r>
      <w:r w:rsidR="002362CD">
        <w:t>I</w:t>
      </w:r>
      <w:r w:rsidR="002A33AE">
        <w:t>l faut</w:t>
      </w:r>
      <w:r>
        <w:t xml:space="preserve"> donc</w:t>
      </w:r>
      <w:r w:rsidR="002A33AE">
        <w:t xml:space="preserve"> conduire un travail d’identification et de </w:t>
      </w:r>
      <w:r>
        <w:t>persuasion</w:t>
      </w:r>
      <w:r w:rsidR="002A33AE">
        <w:t xml:space="preserve"> de ces acteurs.</w:t>
      </w:r>
    </w:p>
    <w:p w:rsidR="00FC17D9" w:rsidRDefault="00FC17D9" w:rsidP="002A33AE">
      <w:pPr>
        <w:pStyle w:val="StyleCorpsnoteGauche35cm"/>
      </w:pPr>
    </w:p>
    <w:p w:rsidR="00FC17D9" w:rsidRDefault="00FC17D9" w:rsidP="00FC17D9">
      <w:pPr>
        <w:pStyle w:val="StyleCorpsnoteGauche35cm"/>
      </w:pPr>
      <w:r>
        <w:t>Au terme de cette pré-étude, Camille Tatger a évalué le périmètre du domaine français de l’internet à 8 millions de noms de domaine :</w:t>
      </w:r>
    </w:p>
    <w:p w:rsidR="00FC17D9" w:rsidRDefault="00FC17D9" w:rsidP="00FC17D9">
      <w:pPr>
        <w:pStyle w:val="StyleCorpsnoteGauche35cm"/>
        <w:numPr>
          <w:ilvl w:val="0"/>
          <w:numId w:val="4"/>
        </w:numPr>
      </w:pPr>
      <w:r>
        <w:t>3,5 millions d’entre eux sont enregistré en .fr, et sont collectés par la BnF en vertu de son partenariat avec l’Afnic ;</w:t>
      </w:r>
    </w:p>
    <w:p w:rsidR="00FC17D9" w:rsidRDefault="00FC17D9" w:rsidP="00FC17D9">
      <w:pPr>
        <w:pStyle w:val="StyleCorpsnoteGauche35cm"/>
        <w:numPr>
          <w:ilvl w:val="0"/>
          <w:numId w:val="4"/>
        </w:numPr>
      </w:pPr>
      <w:r>
        <w:t>400 000 le sont sous de nouvelles extensions, et sont p</w:t>
      </w:r>
      <w:r w:rsidR="002904C0">
        <w:t>our partie collectés par la BnF, qui mène une veille sur le sujet ;</w:t>
      </w:r>
    </w:p>
    <w:p w:rsidR="002904C0" w:rsidRDefault="002904C0" w:rsidP="002904C0">
      <w:pPr>
        <w:pStyle w:val="StyleCorpsnoteGauche35cm"/>
        <w:numPr>
          <w:ilvl w:val="0"/>
          <w:numId w:val="4"/>
        </w:numPr>
      </w:pPr>
      <w:r>
        <w:t>et environ 4 millions le sont sous les extensions génériques, telles que .com ou .net.</w:t>
      </w:r>
    </w:p>
    <w:p w:rsidR="002904C0" w:rsidRDefault="002904C0" w:rsidP="002904C0">
      <w:pPr>
        <w:pStyle w:val="StyleCorpsnoteGauche35cm"/>
      </w:pPr>
    </w:p>
    <w:p w:rsidR="002904C0" w:rsidRDefault="002904C0" w:rsidP="00FC17D9">
      <w:pPr>
        <w:pStyle w:val="StyleCorpsnoteGauche35cm"/>
      </w:pPr>
      <w:r>
        <w:t>Si ces dernières représentent près d</w:t>
      </w:r>
      <w:r w:rsidR="007956C7">
        <w:t>e la moitié des noms de domaine</w:t>
      </w:r>
      <w:r>
        <w:t xml:space="preserve"> enregistrés, elles </w:t>
      </w:r>
      <w:r w:rsidR="00D32DAF">
        <w:t>constituaient en revanche</w:t>
      </w:r>
      <w:r>
        <w:t xml:space="preserve"> moins du tiers des domaines moissonnés lors de l’édition 2017 de la collecte</w:t>
      </w:r>
      <w:r w:rsidR="00D32DAF">
        <w:t xml:space="preserve"> large</w:t>
      </w:r>
      <w:r>
        <w:t>.</w:t>
      </w:r>
      <w:r w:rsidR="00D32DAF">
        <w:t xml:space="preserve"> La société Gandi enregistre à elle seule la moitié de ces noms de domaine.</w:t>
      </w:r>
    </w:p>
    <w:p w:rsidR="002904C0" w:rsidRDefault="002904C0" w:rsidP="00FC17D9">
      <w:pPr>
        <w:pStyle w:val="StyleCorpsnoteGauche35cm"/>
      </w:pPr>
    </w:p>
    <w:p w:rsidR="00D32DAF" w:rsidRPr="00CA3565" w:rsidRDefault="00C02342" w:rsidP="00FC17D9">
      <w:pPr>
        <w:pStyle w:val="StyleCorpsnoteGauche35cm"/>
        <w:rPr>
          <w:color w:val="7030A0"/>
        </w:rPr>
      </w:pPr>
      <w:r w:rsidRPr="00CA3565">
        <w:rPr>
          <w:color w:val="7030A0"/>
          <w:u w:val="single"/>
        </w:rPr>
        <w:t>Proposition n°</w:t>
      </w:r>
      <w:r w:rsidR="004533D7">
        <w:rPr>
          <w:color w:val="7030A0"/>
          <w:u w:val="single"/>
        </w:rPr>
        <w:t>2</w:t>
      </w:r>
      <w:r w:rsidR="004533D7" w:rsidRPr="00CA3565">
        <w:rPr>
          <w:color w:val="7030A0"/>
          <w:u w:val="single"/>
        </w:rPr>
        <w:t> </w:t>
      </w:r>
      <w:r w:rsidR="00D32DAF" w:rsidRPr="00CA3565">
        <w:rPr>
          <w:color w:val="7030A0"/>
          <w:u w:val="single"/>
        </w:rPr>
        <w:t>:</w:t>
      </w:r>
      <w:r w:rsidR="007956C7" w:rsidRPr="00CA3565">
        <w:rPr>
          <w:color w:val="7030A0"/>
        </w:rPr>
        <w:t xml:space="preserve"> Augmenter la proportion de noms de domaine enregistrés sous des extensions génériques dans la collecte large par des partenariats.</w:t>
      </w:r>
    </w:p>
    <w:p w:rsidR="001D40C6" w:rsidRDefault="001D40C6">
      <w:r>
        <w:br w:type="page"/>
      </w:r>
    </w:p>
    <w:p w:rsidR="00D32DAF" w:rsidRDefault="00D32DAF" w:rsidP="00FC17D9">
      <w:pPr>
        <w:pStyle w:val="StyleCorpsnoteGauche35cm"/>
      </w:pPr>
    </w:p>
    <w:p w:rsidR="002A33AE" w:rsidRDefault="00EA1BD1" w:rsidP="00EA1BD1">
      <w:pPr>
        <w:pStyle w:val="StyleCorpsnoteGauche35cm"/>
        <w:numPr>
          <w:ilvl w:val="0"/>
          <w:numId w:val="5"/>
        </w:numPr>
      </w:pPr>
      <w:r>
        <w:t>Concernant les collectes ciblées</w:t>
      </w:r>
    </w:p>
    <w:p w:rsidR="00B91290" w:rsidRDefault="00B91290" w:rsidP="00DD05F1">
      <w:pPr>
        <w:pStyle w:val="StyleCorpsnoteGauche35cm"/>
      </w:pPr>
    </w:p>
    <w:p w:rsidR="00D5493C" w:rsidRDefault="002A33AE" w:rsidP="002A41E0">
      <w:pPr>
        <w:pStyle w:val="StyleCorpsnoteGauche35cm"/>
      </w:pPr>
      <w:r>
        <w:t>La sélection</w:t>
      </w:r>
      <w:r w:rsidR="002A41E0">
        <w:t xml:space="preserve"> procède d’une logique acquisitive, puisque les sites archivés </w:t>
      </w:r>
      <w:r w:rsidR="00D5493C">
        <w:t>ont vocation à s’inscrire</w:t>
      </w:r>
      <w:r w:rsidR="002A41E0">
        <w:t xml:space="preserve"> dans la continuité thématique des collections imprimées</w:t>
      </w:r>
      <w:r w:rsidR="00D5493C">
        <w:t xml:space="preserve">. Elle se trouve </w:t>
      </w:r>
      <w:r>
        <w:t xml:space="preserve">limitée par des facteurs organisationnels et humains. </w:t>
      </w:r>
    </w:p>
    <w:p w:rsidR="00D5493C" w:rsidRDefault="00D5493C" w:rsidP="002A41E0">
      <w:pPr>
        <w:pStyle w:val="StyleCorpsnoteGauche35cm"/>
      </w:pPr>
    </w:p>
    <w:p w:rsidR="00DD05F1" w:rsidRDefault="00D5493C" w:rsidP="002A41E0">
      <w:pPr>
        <w:pStyle w:val="StyleCorpsnoteGauche35cm"/>
      </w:pPr>
      <w:r>
        <w:t>E</w:t>
      </w:r>
      <w:r w:rsidR="002A33AE">
        <w:t>l</w:t>
      </w:r>
      <w:r>
        <w:t>le</w:t>
      </w:r>
      <w:r w:rsidR="002A33AE">
        <w:t xml:space="preserve"> est orientée </w:t>
      </w:r>
      <w:r>
        <w:t>par la politique documentaire des départements, et par la sensibilité des sélectionneurs, et non</w:t>
      </w:r>
      <w:r w:rsidR="002A33AE">
        <w:t xml:space="preserve"> par les usages de l’internet</w:t>
      </w:r>
      <w:r>
        <w:t> :</w:t>
      </w:r>
      <w:r w:rsidR="002A41E0">
        <w:t xml:space="preserve"> a</w:t>
      </w:r>
      <w:r w:rsidR="002A33AE">
        <w:t xml:space="preserve">insi, la notoriété </w:t>
      </w:r>
      <w:r w:rsidR="00B91290">
        <w:t>et le trafic des sites ne constituent pas des critères de sélection.</w:t>
      </w:r>
    </w:p>
    <w:p w:rsidR="00D17FCA" w:rsidRDefault="00D17FCA" w:rsidP="002A41E0">
      <w:pPr>
        <w:pStyle w:val="StyleCorpsnoteGauche35cm"/>
      </w:pPr>
    </w:p>
    <w:p w:rsidR="00D17FCA" w:rsidRDefault="00D17FCA" w:rsidP="002A41E0">
      <w:pPr>
        <w:pStyle w:val="StyleCorpsnoteGauche35cm"/>
      </w:pPr>
      <w:r>
        <w:t xml:space="preserve">Par ailleurs, les alternatives françaises aux sites étrangers </w:t>
      </w:r>
      <w:r w:rsidR="00FE3059">
        <w:t>ne sont pas systématiquement mises en exergue</w:t>
      </w:r>
      <w:r>
        <w:t xml:space="preserve"> : </w:t>
      </w:r>
      <w:proofErr w:type="spellStart"/>
      <w:r w:rsidR="00C02342">
        <w:t>AdopteUnMec</w:t>
      </w:r>
      <w:proofErr w:type="spellEnd"/>
      <w:r w:rsidR="00C02342">
        <w:t xml:space="preserve">, </w:t>
      </w:r>
      <w:proofErr w:type="spellStart"/>
      <w:r w:rsidR="00C02342">
        <w:t>Dailymotion</w:t>
      </w:r>
      <w:proofErr w:type="spellEnd"/>
      <w:r w:rsidR="00C02342">
        <w:t xml:space="preserve">, </w:t>
      </w:r>
      <w:proofErr w:type="spellStart"/>
      <w:r w:rsidR="00C02342">
        <w:t>Deezer</w:t>
      </w:r>
      <w:proofErr w:type="spellEnd"/>
      <w:r w:rsidR="00C02342">
        <w:t xml:space="preserve">, </w:t>
      </w:r>
      <w:proofErr w:type="spellStart"/>
      <w:r>
        <w:t>KissKissBan</w:t>
      </w:r>
      <w:r w:rsidR="00A55937">
        <w:t>kBank</w:t>
      </w:r>
      <w:proofErr w:type="spellEnd"/>
      <w:r>
        <w:t>, etc.</w:t>
      </w:r>
    </w:p>
    <w:p w:rsidR="00EA1BD1" w:rsidRDefault="00EA1BD1" w:rsidP="002A41E0">
      <w:pPr>
        <w:pStyle w:val="StyleCorpsnoteGauche35cm"/>
      </w:pPr>
    </w:p>
    <w:p w:rsidR="007956C7" w:rsidRDefault="007956C7" w:rsidP="007956C7">
      <w:pPr>
        <w:pStyle w:val="StyleCorpsnoteGauche35cm"/>
      </w:pPr>
      <w:r>
        <w:t xml:space="preserve">La pré-étude a montré que leurs principaux usages concernaient </w:t>
      </w:r>
      <w:r w:rsidR="00C56890">
        <w:t xml:space="preserve">la communication (notamment au travers des réseaux sociaux), la vente en ligne </w:t>
      </w:r>
      <w:r w:rsidR="00CB75EC">
        <w:t>et</w:t>
      </w:r>
      <w:r>
        <w:t xml:space="preserve"> </w:t>
      </w:r>
      <w:r w:rsidR="00C56890">
        <w:t>l’e-administration, devant la consultation des sites de presse et d’information.</w:t>
      </w:r>
    </w:p>
    <w:p w:rsidR="00C64EED" w:rsidRDefault="00C64EED" w:rsidP="007956C7">
      <w:pPr>
        <w:pStyle w:val="StyleCorpsnoteGauche35cm"/>
      </w:pPr>
    </w:p>
    <w:p w:rsidR="00C64EED" w:rsidRDefault="00F53AAE" w:rsidP="00C64EED">
      <w:pPr>
        <w:pStyle w:val="StyleCorpsnoteGauche35cm"/>
        <w:rPr>
          <w:color w:val="7030A0"/>
        </w:rPr>
      </w:pPr>
      <w:r>
        <w:rPr>
          <w:color w:val="7030A0"/>
          <w:u w:val="single"/>
        </w:rPr>
        <w:t>Proposition n°</w:t>
      </w:r>
      <w:r w:rsidR="004533D7">
        <w:rPr>
          <w:color w:val="7030A0"/>
          <w:u w:val="single"/>
        </w:rPr>
        <w:t>3</w:t>
      </w:r>
      <w:r w:rsidR="00C64EED" w:rsidRPr="00CA3565">
        <w:rPr>
          <w:color w:val="7030A0"/>
          <w:u w:val="single"/>
        </w:rPr>
        <w:t>:</w:t>
      </w:r>
      <w:r w:rsidR="00C64EED" w:rsidRPr="00CA3565">
        <w:rPr>
          <w:color w:val="7030A0"/>
        </w:rPr>
        <w:t xml:space="preserve"> </w:t>
      </w:r>
      <w:r w:rsidR="00C64EED">
        <w:rPr>
          <w:color w:val="7030A0"/>
        </w:rPr>
        <w:t>Promouvoir de nouvelles méthodes de veille, associant approche quantitative et approche qualitative, auprès du réseau des correspondants.</w:t>
      </w:r>
    </w:p>
    <w:p w:rsidR="00C64EED" w:rsidRDefault="00C64EED" w:rsidP="00C64EED">
      <w:pPr>
        <w:pStyle w:val="StyleCorpsnoteGauche35cm"/>
        <w:rPr>
          <w:color w:val="7030A0"/>
        </w:rPr>
      </w:pPr>
    </w:p>
    <w:p w:rsidR="00C64EED" w:rsidRPr="00CA3565" w:rsidRDefault="00F53AAE" w:rsidP="00C64EED">
      <w:pPr>
        <w:pStyle w:val="StyleCorpsnoteGauche35cm"/>
        <w:rPr>
          <w:color w:val="7030A0"/>
        </w:rPr>
      </w:pPr>
      <w:r>
        <w:rPr>
          <w:color w:val="7030A0"/>
          <w:u w:val="single"/>
        </w:rPr>
        <w:t>Proposition n°</w:t>
      </w:r>
      <w:r w:rsidR="004533D7">
        <w:rPr>
          <w:color w:val="7030A0"/>
          <w:u w:val="single"/>
        </w:rPr>
        <w:t>4</w:t>
      </w:r>
      <w:r w:rsidR="00C64EED" w:rsidRPr="00CA3565">
        <w:rPr>
          <w:color w:val="7030A0"/>
          <w:u w:val="single"/>
        </w:rPr>
        <w:t>:</w:t>
      </w:r>
      <w:r w:rsidR="00C64EED" w:rsidRPr="00CA3565">
        <w:rPr>
          <w:color w:val="7030A0"/>
        </w:rPr>
        <w:t xml:space="preserve"> </w:t>
      </w:r>
      <w:r w:rsidR="00C64EED">
        <w:rPr>
          <w:color w:val="7030A0"/>
        </w:rPr>
        <w:t>Développer la sélection partagée en coopération avec les bibliothèques de dépôt légal imprimeur en région et les acteurs du monde de la recherche.</w:t>
      </w:r>
    </w:p>
    <w:p w:rsidR="00FC17D9" w:rsidRDefault="00FC17D9" w:rsidP="002A41E0">
      <w:pPr>
        <w:pStyle w:val="StyleCorpsnoteGauche35cm"/>
      </w:pPr>
    </w:p>
    <w:p w:rsidR="00EA1BD1" w:rsidRDefault="00EA1BD1" w:rsidP="00EA1BD1">
      <w:pPr>
        <w:pStyle w:val="StyleCorpsnoteGauche35cm"/>
        <w:numPr>
          <w:ilvl w:val="0"/>
          <w:numId w:val="5"/>
        </w:numPr>
      </w:pPr>
      <w:r>
        <w:t>Pour tous types de collecte confondus</w:t>
      </w:r>
    </w:p>
    <w:p w:rsidR="00DD05F1" w:rsidRDefault="00DD05F1" w:rsidP="00DD05F1">
      <w:pPr>
        <w:pStyle w:val="StyleCorpsnoteGauche35cm"/>
      </w:pPr>
    </w:p>
    <w:p w:rsidR="00453EFC" w:rsidRDefault="007F72A5" w:rsidP="007104A6">
      <w:pPr>
        <w:pStyle w:val="StyleCorpsnoteGauche35cm"/>
      </w:pPr>
      <w:r>
        <w:t xml:space="preserve">La BnF </w:t>
      </w:r>
      <w:r w:rsidR="00453EFC">
        <w:t xml:space="preserve">a choisi d’internaliser l’activité et d’adopter une approche mono-robot, basée sur l’utilisation de logiciels </w:t>
      </w:r>
      <w:r w:rsidR="00453EFC" w:rsidRPr="00453EFC">
        <w:rPr>
          <w:i/>
        </w:rPr>
        <w:t>Open Source</w:t>
      </w:r>
      <w:r w:rsidR="00453EFC">
        <w:t xml:space="preserve"> et de formats normalisés, </w:t>
      </w:r>
      <w:r>
        <w:t xml:space="preserve">pour garantir la </w:t>
      </w:r>
      <w:r w:rsidR="00453EFC">
        <w:t>maintenabilité de la chaîne, et la pérennité des données produites.</w:t>
      </w:r>
    </w:p>
    <w:p w:rsidR="00453EFC" w:rsidRDefault="00453EFC" w:rsidP="007104A6">
      <w:pPr>
        <w:pStyle w:val="StyleCorpsnoteGauche35cm"/>
      </w:pPr>
    </w:p>
    <w:p w:rsidR="009405E5" w:rsidRDefault="00D5493C" w:rsidP="007104A6">
      <w:pPr>
        <w:pStyle w:val="StyleCorpsnoteGauche35cm"/>
      </w:pPr>
      <w:r>
        <w:t xml:space="preserve">Dans ces conditions, le succès de la collecte est dépendant de l’architecture des sites et des technologies utilisées : bases de données, cartes interactives </w:t>
      </w:r>
      <w:r w:rsidR="009405E5">
        <w:t>ou « long scrolling pages »</w:t>
      </w:r>
      <w:r w:rsidR="005467CE">
        <w:t>, par exemple,</w:t>
      </w:r>
      <w:r w:rsidR="009405E5">
        <w:t xml:space="preserve"> sont parmi les contenus qui échappent au robot.</w:t>
      </w:r>
    </w:p>
    <w:p w:rsidR="008F6BCE" w:rsidRDefault="008F6BCE" w:rsidP="008F6BCE">
      <w:pPr>
        <w:pStyle w:val="StyleCorpsnoteGauche35cm"/>
      </w:pPr>
    </w:p>
    <w:p w:rsidR="00EA1BD1" w:rsidRDefault="009405E5" w:rsidP="00EA1BD1">
      <w:pPr>
        <w:pStyle w:val="StyleCorpsnoteGauche35cm"/>
      </w:pPr>
      <w:r>
        <w:t xml:space="preserve">Les </w:t>
      </w:r>
      <w:proofErr w:type="spellStart"/>
      <w:r>
        <w:t>captchas</w:t>
      </w:r>
      <w:proofErr w:type="spellEnd"/>
      <w:r>
        <w:t xml:space="preserve"> et autres dispositifs de blocage des robots peuvent faire obstacle à la collecte. </w:t>
      </w:r>
      <w:r w:rsidR="00FC17D9">
        <w:t>A la marge, il arrive que les éditeurs adressent à la BnF des réclamations ou ne lui permettent pas d’accéder aux</w:t>
      </w:r>
      <w:r w:rsidR="00EA1BD1">
        <w:t xml:space="preserve"> contenus en accès protégé</w:t>
      </w:r>
    </w:p>
    <w:p w:rsidR="00453EFC" w:rsidRDefault="00453EFC" w:rsidP="007104A6">
      <w:pPr>
        <w:pStyle w:val="StyleCorpsnoteGauche35cm"/>
      </w:pPr>
    </w:p>
    <w:p w:rsidR="005467CE" w:rsidRDefault="005467CE" w:rsidP="005467CE">
      <w:pPr>
        <w:pStyle w:val="StyleCorpsnoteGauche35cm"/>
      </w:pPr>
      <w:r>
        <w:t>On</w:t>
      </w:r>
      <w:r w:rsidR="00C02342">
        <w:t xml:space="preserve"> constate que les usages en mobilité se développent : 60 % des Français ont accès à l’internet sur leur </w:t>
      </w:r>
      <w:r>
        <w:t>téléphone portable</w:t>
      </w:r>
      <w:r w:rsidR="00C02342">
        <w:t xml:space="preserve">, et 85% grâce à leur ligne fixe. </w:t>
      </w:r>
      <w:r>
        <w:t>Or, la collecte porte sur les sites classiques et non sur les versions mobile ou les applications.</w:t>
      </w:r>
    </w:p>
    <w:p w:rsidR="00C02342" w:rsidRDefault="00C02342" w:rsidP="00C02342">
      <w:pPr>
        <w:pStyle w:val="StyleCorpsnoteGauche35cm"/>
      </w:pPr>
    </w:p>
    <w:p w:rsidR="004533D7" w:rsidRPr="00CA3565" w:rsidRDefault="004533D7" w:rsidP="004533D7">
      <w:pPr>
        <w:pStyle w:val="StyleCorpsnoteGauche35cm"/>
        <w:rPr>
          <w:color w:val="7030A0"/>
        </w:rPr>
      </w:pPr>
      <w:r w:rsidRPr="00CA3565">
        <w:rPr>
          <w:color w:val="7030A0"/>
          <w:u w:val="single"/>
        </w:rPr>
        <w:t>Proposition n°</w:t>
      </w:r>
      <w:r>
        <w:rPr>
          <w:color w:val="7030A0"/>
          <w:u w:val="single"/>
        </w:rPr>
        <w:t>5</w:t>
      </w:r>
      <w:r w:rsidRPr="00CA3565">
        <w:rPr>
          <w:color w:val="7030A0"/>
          <w:u w:val="single"/>
        </w:rPr>
        <w:t> :</w:t>
      </w:r>
      <w:r w:rsidRPr="00CA3565">
        <w:rPr>
          <w:color w:val="7030A0"/>
        </w:rPr>
        <w:t xml:space="preserve"> Documenter grâce à des didacticiels, des sessions de navigation filmées ou par tout autre moyen le parcours des internautes et la dynamique des sites.</w:t>
      </w:r>
    </w:p>
    <w:p w:rsidR="004533D7" w:rsidRDefault="004533D7" w:rsidP="00C02342">
      <w:pPr>
        <w:pStyle w:val="StyleCorpsnoteGauche35cm"/>
      </w:pPr>
    </w:p>
    <w:p w:rsidR="00A42325" w:rsidRDefault="00A42325" w:rsidP="00CE49F6">
      <w:pPr>
        <w:pStyle w:val="StyleCorpsnoteGauche35cm"/>
      </w:pPr>
    </w:p>
    <w:p w:rsidR="00A42325" w:rsidRDefault="00A42325" w:rsidP="00CE49F6">
      <w:pPr>
        <w:pStyle w:val="StyleCorpsnoteGauche35cm"/>
      </w:pPr>
    </w:p>
    <w:p w:rsidR="00A42325" w:rsidRDefault="00A42325">
      <w:pPr>
        <w:rPr>
          <w:rFonts w:ascii="Plantin MT Semi Bold" w:hAnsi="Plantin MT Semi Bold"/>
        </w:rPr>
        <w:sectPr w:rsidR="00A42325" w:rsidSect="0010520A">
          <w:headerReference w:type="default" r:id="rId16"/>
          <w:type w:val="continuous"/>
          <w:pgSz w:w="11906" w:h="16838" w:code="9"/>
          <w:pgMar w:top="454" w:right="851" w:bottom="567" w:left="851" w:header="227" w:footer="227" w:gutter="0"/>
          <w:cols w:space="720"/>
          <w:formProt w:val="0"/>
          <w:titlePg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253"/>
      </w:tblGrid>
      <w:tr w:rsidR="00A42325">
        <w:trPr>
          <w:cantSplit/>
        </w:trPr>
        <w:tc>
          <w:tcPr>
            <w:tcW w:w="3827" w:type="dxa"/>
          </w:tcPr>
          <w:p w:rsidR="00A42325" w:rsidRDefault="00A42325">
            <w:pPr>
              <w:rPr>
                <w:rFonts w:ascii="Plantin MT Semi Bold" w:hAnsi="Plantin MT Semi Bold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10520A" w:rsidRDefault="0010520A" w:rsidP="0010520A">
            <w:pPr>
              <w:pStyle w:val="TM2"/>
              <w:tabs>
                <w:tab w:val="clear" w:pos="9072"/>
              </w:tabs>
              <w:rPr>
                <w:smallCaps w:val="0"/>
              </w:rPr>
            </w:pPr>
            <w:r>
              <w:rPr>
                <w:smallCaps w:val="0"/>
              </w:rPr>
              <w:fldChar w:fldCharType="begin"/>
            </w:r>
            <w:r>
              <w:rPr>
                <w:smallCaps w:val="0"/>
              </w:rPr>
              <w:instrText xml:space="preserve"> REF Emetteur  \* CHARFORMAT </w:instrText>
            </w:r>
            <w:r>
              <w:rPr>
                <w:smallCaps w:val="0"/>
              </w:rPr>
              <w:fldChar w:fldCharType="separate"/>
            </w:r>
            <w:r w:rsidR="00B102B4" w:rsidRPr="00B102B4">
              <w:rPr>
                <w:smallCaps w:val="0"/>
              </w:rPr>
              <w:t>Marie CHOULEUR</w:t>
            </w:r>
            <w:r>
              <w:rPr>
                <w:smallCaps w:val="0"/>
              </w:rPr>
              <w:fldChar w:fldCharType="end"/>
            </w:r>
          </w:p>
          <w:p w:rsidR="0010520A" w:rsidRDefault="0010520A" w:rsidP="0010520A"/>
        </w:tc>
      </w:tr>
      <w:tr w:rsidR="00A42325">
        <w:trPr>
          <w:cantSplit/>
        </w:trPr>
        <w:tc>
          <w:tcPr>
            <w:tcW w:w="3827" w:type="dxa"/>
          </w:tcPr>
          <w:p w:rsidR="00A42325" w:rsidRDefault="00A42325">
            <w:pPr>
              <w:rPr>
                <w:rFonts w:ascii="Plantin MT Semi Bold" w:hAnsi="Plantin MT Semi Bold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10520A" w:rsidRPr="0010520A" w:rsidRDefault="0010520A" w:rsidP="0010520A">
            <w:r>
              <w:t xml:space="preserve"> </w:t>
            </w:r>
            <w:bookmarkStart w:id="13" w:name="EmetteurTitre"/>
            <w:r w:rsidR="00EA623D">
              <w:t>chef de service</w:t>
            </w:r>
            <w:bookmarkEnd w:id="13"/>
          </w:p>
        </w:tc>
      </w:tr>
    </w:tbl>
    <w:p w:rsidR="00A42325" w:rsidRDefault="00A42325" w:rsidP="00CE49F6">
      <w:pPr>
        <w:pStyle w:val="StyleCorpsnoteGauche35cm"/>
      </w:pPr>
    </w:p>
    <w:p w:rsidR="00A42325" w:rsidRDefault="00A42325"/>
    <w:sectPr w:rsidR="00A42325" w:rsidSect="0010520A">
      <w:headerReference w:type="default" r:id="rId17"/>
      <w:type w:val="continuous"/>
      <w:pgSz w:w="11906" w:h="16838" w:code="9"/>
      <w:pgMar w:top="454" w:right="851" w:bottom="567" w:left="85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43" w:rsidRDefault="00E21843">
      <w:r>
        <w:separator/>
      </w:r>
    </w:p>
  </w:endnote>
  <w:endnote w:type="continuationSeparator" w:id="0">
    <w:p w:rsidR="00E21843" w:rsidRDefault="00E2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antin">
    <w:panose1 w:val="02040503060201020203"/>
    <w:charset w:val="00"/>
    <w:family w:val="roman"/>
    <w:pitch w:val="variable"/>
    <w:sig w:usb0="00000003" w:usb1="00000000" w:usb2="00000000" w:usb3="00000000" w:csb0="00000001" w:csb1="00000000"/>
  </w:font>
  <w:font w:name="CorporateSBQ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in MT Semi Bold">
    <w:panose1 w:val="0203060306020602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A" w:rsidRDefault="00EB0E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A" w:rsidRDefault="00EB0E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A" w:rsidRDefault="00EB0E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43" w:rsidRDefault="00E21843">
      <w:r>
        <w:separator/>
      </w:r>
    </w:p>
  </w:footnote>
  <w:footnote w:type="continuationSeparator" w:id="0">
    <w:p w:rsidR="00E21843" w:rsidRDefault="00E2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A" w:rsidRDefault="00EB0E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4111"/>
    </w:tblGrid>
    <w:tr w:rsidR="00EB0E7A">
      <w:tc>
        <w:tcPr>
          <w:tcW w:w="5954" w:type="dxa"/>
        </w:tcPr>
        <w:p w:rsidR="00EB0E7A" w:rsidRDefault="00624D4F">
          <w:pPr>
            <w:pStyle w:val="En-tte"/>
            <w:jc w:val="right"/>
            <w:rPr>
              <w:i/>
            </w:rPr>
          </w:pPr>
          <w:r>
            <w:rPr>
              <w:i/>
            </w:rPr>
            <w:drawing>
              <wp:inline distT="0" distB="0" distL="0" distR="0" wp14:anchorId="2B57C716" wp14:editId="617D6AC3">
                <wp:extent cx="290830" cy="29083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bottom w:val="single" w:sz="2" w:space="0" w:color="auto"/>
          </w:tcBorders>
        </w:tcPr>
        <w:p w:rsidR="00EB0E7A" w:rsidRDefault="00EB0E7A">
          <w:pPr>
            <w:pStyle w:val="En-tte"/>
            <w:spacing w:before="160"/>
            <w:rPr>
              <w:i/>
            </w:rPr>
          </w:pPr>
          <w:r>
            <w:rPr>
              <w:i/>
            </w:rPr>
            <w:t xml:space="preserve">Réf  </w:t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REF Référence \h  \* MERGEFORMAT </w:instrText>
          </w:r>
          <w:r>
            <w:rPr>
              <w:i/>
            </w:rPr>
            <w:fldChar w:fldCharType="separate"/>
          </w:r>
          <w:r w:rsidR="00B102B4">
            <w:rPr>
              <w:b/>
              <w:bCs/>
              <w:i/>
            </w:rPr>
            <w:t>Erreur</w:t>
          </w:r>
          <w:r w:rsidR="00B102B4">
            <w:rPr>
              <w:rFonts w:ascii="Times New Roman" w:hAnsi="Times New Roman"/>
              <w:b/>
              <w:bCs/>
              <w:i/>
            </w:rPr>
            <w:t> </w:t>
          </w:r>
          <w:r w:rsidR="00B102B4">
            <w:rPr>
              <w:b/>
              <w:bCs/>
              <w:i/>
            </w:rPr>
            <w:t>! Source du renvoi introuvable.</w:t>
          </w:r>
          <w:r>
            <w:rPr>
              <w:i/>
            </w:rPr>
            <w:fldChar w:fldCharType="end"/>
          </w:r>
          <w:r>
            <w:rPr>
              <w:i/>
            </w:rPr>
            <w:br/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REF date \h  \* MERGEFORMAT </w:instrText>
          </w:r>
          <w:r>
            <w:rPr>
              <w:i/>
            </w:rPr>
            <w:fldChar w:fldCharType="separate"/>
          </w:r>
          <w:r w:rsidR="00B102B4">
            <w:rPr>
              <w:b/>
              <w:bCs/>
              <w:i/>
            </w:rPr>
            <w:t>Erreur</w:t>
          </w:r>
          <w:r w:rsidR="00B102B4">
            <w:rPr>
              <w:rFonts w:ascii="Times New Roman" w:hAnsi="Times New Roman"/>
              <w:b/>
              <w:bCs/>
              <w:i/>
            </w:rPr>
            <w:t> </w:t>
          </w:r>
          <w:r w:rsidR="00B102B4">
            <w:rPr>
              <w:b/>
              <w:bCs/>
              <w:i/>
            </w:rPr>
            <w:t>! Source du renvoi introuvable.</w:t>
          </w:r>
          <w:r>
            <w:rPr>
              <w:i/>
            </w:rPr>
            <w:fldChar w:fldCharType="end"/>
          </w:r>
        </w:p>
      </w:tc>
    </w:tr>
    <w:tr w:rsidR="00EB0E7A">
      <w:tc>
        <w:tcPr>
          <w:tcW w:w="5954" w:type="dxa"/>
        </w:tcPr>
        <w:p w:rsidR="00EB0E7A" w:rsidRDefault="00EB0E7A">
          <w:pPr>
            <w:pStyle w:val="En-tte"/>
            <w:rPr>
              <w:i/>
            </w:rPr>
          </w:pPr>
        </w:p>
      </w:tc>
      <w:tc>
        <w:tcPr>
          <w:tcW w:w="4111" w:type="dxa"/>
        </w:tcPr>
        <w:p w:rsidR="00EB0E7A" w:rsidRDefault="00EB0E7A">
          <w:pPr>
            <w:pStyle w:val="En-tte"/>
            <w:rPr>
              <w:i/>
            </w:rPr>
          </w:pPr>
          <w:r>
            <w:rPr>
              <w:i/>
            </w:rPr>
            <w:t xml:space="preserve">page </w:t>
          </w:r>
          <w:r>
            <w:rPr>
              <w:rStyle w:val="Numrodepage"/>
              <w:i/>
            </w:rPr>
            <w:fldChar w:fldCharType="begin"/>
          </w:r>
          <w:r>
            <w:rPr>
              <w:rStyle w:val="Numrodepage"/>
              <w:i/>
            </w:rPr>
            <w:instrText xml:space="preserve"> PAGE </w:instrText>
          </w:r>
          <w:r>
            <w:rPr>
              <w:rStyle w:val="Numrodepage"/>
              <w:i/>
            </w:rPr>
            <w:fldChar w:fldCharType="separate"/>
          </w:r>
          <w:r w:rsidR="00B102B4">
            <w:rPr>
              <w:rStyle w:val="Numrodepage"/>
              <w:i/>
            </w:rPr>
            <w:t>1</w:t>
          </w:r>
          <w:r>
            <w:rPr>
              <w:rStyle w:val="Numrodepage"/>
              <w:i/>
            </w:rPr>
            <w:fldChar w:fldCharType="end"/>
          </w:r>
          <w:r>
            <w:rPr>
              <w:rStyle w:val="Numrodepage"/>
              <w:i/>
            </w:rPr>
            <w:t>/</w:t>
          </w:r>
          <w:r>
            <w:rPr>
              <w:rStyle w:val="Numrodepage"/>
              <w:i/>
            </w:rPr>
            <w:fldChar w:fldCharType="begin"/>
          </w:r>
          <w:r>
            <w:rPr>
              <w:rStyle w:val="Numrodepage"/>
              <w:i/>
            </w:rPr>
            <w:instrText xml:space="preserve"> NUMPAGES </w:instrText>
          </w:r>
          <w:r>
            <w:rPr>
              <w:rStyle w:val="Numrodepage"/>
              <w:i/>
            </w:rPr>
            <w:fldChar w:fldCharType="separate"/>
          </w:r>
          <w:r w:rsidR="00B102B4">
            <w:rPr>
              <w:rStyle w:val="Numrodepage"/>
              <w:i/>
            </w:rPr>
            <w:t>3</w:t>
          </w:r>
          <w:r>
            <w:rPr>
              <w:rStyle w:val="Numrodepage"/>
              <w:i/>
            </w:rPr>
            <w:fldChar w:fldCharType="end"/>
          </w:r>
        </w:p>
      </w:tc>
    </w:tr>
  </w:tbl>
  <w:p w:rsidR="00EB0E7A" w:rsidRDefault="00EB0E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A" w:rsidRDefault="00EB0E7A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4111"/>
    </w:tblGrid>
    <w:tr w:rsidR="00EB0E7A">
      <w:tc>
        <w:tcPr>
          <w:tcW w:w="5954" w:type="dxa"/>
        </w:tcPr>
        <w:p w:rsidR="00EB0E7A" w:rsidRDefault="00EB0E7A">
          <w:pPr>
            <w:pStyle w:val="En-tte"/>
            <w:jc w:val="right"/>
          </w:pPr>
          <w:r>
            <w:object w:dxaOrig="1515" w:dyaOrig="15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.3pt;height:21.3pt" o:ole="" fillcolor="window">
                <v:imagedata r:id="rId1" o:title=""/>
              </v:shape>
              <o:OLEObject Type="Embed" ProgID="MSPhotoEd.3" ShapeID="_x0000_i1026" DrawAspect="Content" ObjectID="_1590329460" r:id="rId2"/>
            </w:object>
          </w:r>
        </w:p>
      </w:tc>
      <w:tc>
        <w:tcPr>
          <w:tcW w:w="4111" w:type="dxa"/>
          <w:tcBorders>
            <w:bottom w:val="single" w:sz="2" w:space="0" w:color="auto"/>
          </w:tcBorders>
        </w:tcPr>
        <w:p w:rsidR="00EB0E7A" w:rsidRDefault="00EB0E7A">
          <w:pPr>
            <w:pStyle w:val="En-tte"/>
            <w:spacing w:before="160"/>
          </w:pPr>
          <w:r>
            <w:t xml:space="preserve">Réf  </w:t>
          </w:r>
          <w:r>
            <w:fldChar w:fldCharType="begin"/>
          </w:r>
          <w:r>
            <w:instrText xml:space="preserve"> REF RefBnF \h  \* CHARFORMAT  \* MERGEFORMAT </w:instrText>
          </w:r>
          <w:r>
            <w:fldChar w:fldCharType="separate"/>
          </w:r>
          <w:r w:rsidR="00B102B4" w:rsidRPr="00B102B4">
            <w:t>BnF-ADM-2018-061898-01</w:t>
          </w:r>
          <w:r>
            <w:fldChar w:fldCharType="end"/>
          </w:r>
          <w:r>
            <w:br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REF DateRef \@ "dd MMMM yyyy" \* CHARFORMAT </w:instrText>
          </w:r>
          <w:r>
            <w:rPr>
              <w:sz w:val="14"/>
            </w:rPr>
            <w:fldChar w:fldCharType="separate"/>
          </w:r>
          <w:r w:rsidR="00B102B4">
            <w:rPr>
              <w:sz w:val="14"/>
            </w:rPr>
            <w:t>11 juin 2018</w:t>
          </w:r>
          <w:r>
            <w:rPr>
              <w:sz w:val="14"/>
            </w:rPr>
            <w:fldChar w:fldCharType="end"/>
          </w:r>
          <w:r>
            <w:t xml:space="preserve"> </w:t>
          </w:r>
        </w:p>
      </w:tc>
    </w:tr>
    <w:tr w:rsidR="00EB0E7A">
      <w:tc>
        <w:tcPr>
          <w:tcW w:w="5954" w:type="dxa"/>
        </w:tcPr>
        <w:p w:rsidR="00EB0E7A" w:rsidRDefault="00EB0E7A">
          <w:pPr>
            <w:pStyle w:val="En-tte"/>
            <w:rPr>
              <w:i/>
            </w:rPr>
          </w:pPr>
        </w:p>
      </w:tc>
      <w:tc>
        <w:tcPr>
          <w:tcW w:w="4111" w:type="dxa"/>
        </w:tcPr>
        <w:p w:rsidR="00EB0E7A" w:rsidRDefault="00EB0E7A">
          <w:pPr>
            <w:pStyle w:val="En-tte"/>
            <w:rPr>
              <w:i/>
            </w:rPr>
          </w:pPr>
          <w:r>
            <w:rPr>
              <w:i/>
            </w:rPr>
            <w:t xml:space="preserve">page </w:t>
          </w:r>
          <w:r>
            <w:rPr>
              <w:rStyle w:val="Numrodepage"/>
              <w:i/>
            </w:rPr>
            <w:fldChar w:fldCharType="begin"/>
          </w:r>
          <w:r>
            <w:rPr>
              <w:rStyle w:val="Numrodepage"/>
              <w:i/>
            </w:rPr>
            <w:instrText xml:space="preserve"> PAGE </w:instrText>
          </w:r>
          <w:r>
            <w:rPr>
              <w:rStyle w:val="Numrodepage"/>
              <w:i/>
            </w:rPr>
            <w:fldChar w:fldCharType="separate"/>
          </w:r>
          <w:r w:rsidR="00A55937">
            <w:rPr>
              <w:rStyle w:val="Numrodepage"/>
              <w:i/>
            </w:rPr>
            <w:t>2</w:t>
          </w:r>
          <w:r>
            <w:rPr>
              <w:rStyle w:val="Numrodepage"/>
              <w:i/>
            </w:rPr>
            <w:fldChar w:fldCharType="end"/>
          </w:r>
          <w:r>
            <w:rPr>
              <w:rStyle w:val="Numrodepage"/>
              <w:i/>
            </w:rPr>
            <w:t>/</w:t>
          </w:r>
          <w:r>
            <w:rPr>
              <w:rStyle w:val="Numrodepage"/>
              <w:i/>
            </w:rPr>
            <w:fldChar w:fldCharType="begin"/>
          </w:r>
          <w:r>
            <w:rPr>
              <w:rStyle w:val="Numrodepage"/>
              <w:i/>
            </w:rPr>
            <w:instrText xml:space="preserve"> NUMPAGES </w:instrText>
          </w:r>
          <w:r>
            <w:rPr>
              <w:rStyle w:val="Numrodepage"/>
              <w:i/>
            </w:rPr>
            <w:fldChar w:fldCharType="separate"/>
          </w:r>
          <w:r w:rsidR="00A55937">
            <w:rPr>
              <w:rStyle w:val="Numrodepage"/>
              <w:i/>
            </w:rPr>
            <w:t>3</w:t>
          </w:r>
          <w:r>
            <w:rPr>
              <w:rStyle w:val="Numrodepage"/>
              <w:i/>
            </w:rPr>
            <w:fldChar w:fldCharType="end"/>
          </w:r>
        </w:p>
      </w:tc>
    </w:tr>
  </w:tbl>
  <w:p w:rsidR="00EB0E7A" w:rsidRDefault="00EB0E7A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4111"/>
    </w:tblGrid>
    <w:tr w:rsidR="00EB0E7A">
      <w:tc>
        <w:tcPr>
          <w:tcW w:w="5954" w:type="dxa"/>
        </w:tcPr>
        <w:p w:rsidR="00EB0E7A" w:rsidRDefault="00624D4F">
          <w:pPr>
            <w:pStyle w:val="En-tte"/>
            <w:jc w:val="right"/>
            <w:rPr>
              <w:i/>
            </w:rPr>
          </w:pPr>
          <w:r>
            <w:rPr>
              <w:i/>
            </w:rPr>
            <w:drawing>
              <wp:inline distT="0" distB="0" distL="0" distR="0" wp14:anchorId="2E59272D" wp14:editId="2D40C416">
                <wp:extent cx="290830" cy="29083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bottom w:val="single" w:sz="2" w:space="0" w:color="auto"/>
          </w:tcBorders>
        </w:tcPr>
        <w:p w:rsidR="00EB0E7A" w:rsidRDefault="00EB0E7A">
          <w:pPr>
            <w:pStyle w:val="En-tte"/>
            <w:spacing w:before="160"/>
            <w:rPr>
              <w:i/>
            </w:rPr>
          </w:pPr>
          <w:r>
            <w:rPr>
              <w:i/>
            </w:rPr>
            <w:t xml:space="preserve">Réf  </w:t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REF Référence \h  \* MERGEFORMAT </w:instrText>
          </w:r>
          <w:r>
            <w:rPr>
              <w:i/>
            </w:rPr>
            <w:fldChar w:fldCharType="separate"/>
          </w:r>
          <w:r w:rsidR="00B102B4">
            <w:rPr>
              <w:b/>
              <w:bCs/>
              <w:i/>
            </w:rPr>
            <w:t>Erreur</w:t>
          </w:r>
          <w:r w:rsidR="00B102B4">
            <w:rPr>
              <w:rFonts w:ascii="Times New Roman" w:hAnsi="Times New Roman"/>
              <w:b/>
              <w:bCs/>
              <w:i/>
            </w:rPr>
            <w:t> </w:t>
          </w:r>
          <w:r w:rsidR="00B102B4">
            <w:rPr>
              <w:b/>
              <w:bCs/>
              <w:i/>
            </w:rPr>
            <w:t>! Source du renvoi introuvable.</w:t>
          </w:r>
          <w:r>
            <w:rPr>
              <w:i/>
            </w:rPr>
            <w:fldChar w:fldCharType="end"/>
          </w:r>
          <w:r>
            <w:rPr>
              <w:i/>
            </w:rPr>
            <w:br/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REF date \h  \* MERGEFORMAT </w:instrText>
          </w:r>
          <w:r>
            <w:rPr>
              <w:i/>
            </w:rPr>
            <w:fldChar w:fldCharType="separate"/>
          </w:r>
          <w:r w:rsidR="00B102B4">
            <w:rPr>
              <w:b/>
              <w:bCs/>
              <w:i/>
            </w:rPr>
            <w:t>Erreur</w:t>
          </w:r>
          <w:r w:rsidR="00B102B4">
            <w:rPr>
              <w:rFonts w:ascii="Times New Roman" w:hAnsi="Times New Roman"/>
              <w:b/>
              <w:bCs/>
              <w:i/>
            </w:rPr>
            <w:t> </w:t>
          </w:r>
          <w:r w:rsidR="00B102B4">
            <w:rPr>
              <w:b/>
              <w:bCs/>
              <w:i/>
            </w:rPr>
            <w:t>! Source du renvoi introuvable.</w:t>
          </w:r>
          <w:r>
            <w:rPr>
              <w:i/>
            </w:rPr>
            <w:fldChar w:fldCharType="end"/>
          </w:r>
        </w:p>
      </w:tc>
    </w:tr>
    <w:tr w:rsidR="00EB0E7A">
      <w:tc>
        <w:tcPr>
          <w:tcW w:w="5954" w:type="dxa"/>
        </w:tcPr>
        <w:p w:rsidR="00EB0E7A" w:rsidRDefault="00EB0E7A">
          <w:pPr>
            <w:pStyle w:val="En-tte"/>
            <w:rPr>
              <w:i/>
            </w:rPr>
          </w:pPr>
        </w:p>
      </w:tc>
      <w:tc>
        <w:tcPr>
          <w:tcW w:w="4111" w:type="dxa"/>
        </w:tcPr>
        <w:p w:rsidR="00EB0E7A" w:rsidRDefault="00EB0E7A">
          <w:pPr>
            <w:pStyle w:val="En-tte"/>
            <w:rPr>
              <w:i/>
            </w:rPr>
          </w:pPr>
          <w:r>
            <w:rPr>
              <w:i/>
            </w:rPr>
            <w:t xml:space="preserve">page </w:t>
          </w:r>
          <w:r>
            <w:rPr>
              <w:rStyle w:val="Numrodepage"/>
              <w:i/>
            </w:rPr>
            <w:fldChar w:fldCharType="begin"/>
          </w:r>
          <w:r>
            <w:rPr>
              <w:rStyle w:val="Numrodepage"/>
              <w:i/>
            </w:rPr>
            <w:instrText xml:space="preserve"> PAGE </w:instrText>
          </w:r>
          <w:r>
            <w:rPr>
              <w:rStyle w:val="Numrodepage"/>
              <w:i/>
            </w:rPr>
            <w:fldChar w:fldCharType="separate"/>
          </w:r>
          <w:r w:rsidR="00B102B4">
            <w:rPr>
              <w:rStyle w:val="Numrodepage"/>
              <w:i/>
            </w:rPr>
            <w:t>3</w:t>
          </w:r>
          <w:r>
            <w:rPr>
              <w:rStyle w:val="Numrodepage"/>
              <w:i/>
            </w:rPr>
            <w:fldChar w:fldCharType="end"/>
          </w:r>
          <w:r>
            <w:rPr>
              <w:rStyle w:val="Numrodepage"/>
              <w:i/>
            </w:rPr>
            <w:t>/</w:t>
          </w:r>
          <w:r>
            <w:rPr>
              <w:rStyle w:val="Numrodepage"/>
              <w:i/>
            </w:rPr>
            <w:fldChar w:fldCharType="begin"/>
          </w:r>
          <w:r>
            <w:rPr>
              <w:rStyle w:val="Numrodepage"/>
              <w:i/>
            </w:rPr>
            <w:instrText xml:space="preserve"> NUMPAGES </w:instrText>
          </w:r>
          <w:r>
            <w:rPr>
              <w:rStyle w:val="Numrodepage"/>
              <w:i/>
            </w:rPr>
            <w:fldChar w:fldCharType="separate"/>
          </w:r>
          <w:r w:rsidR="00B102B4">
            <w:rPr>
              <w:rStyle w:val="Numrodepage"/>
              <w:i/>
            </w:rPr>
            <w:t>3</w:t>
          </w:r>
          <w:r>
            <w:rPr>
              <w:rStyle w:val="Numrodepage"/>
              <w:i/>
            </w:rPr>
            <w:fldChar w:fldCharType="end"/>
          </w:r>
        </w:p>
      </w:tc>
    </w:tr>
  </w:tbl>
  <w:p w:rsidR="00EB0E7A" w:rsidRDefault="00EB0E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E7A0636"/>
    <w:lvl w:ilvl="0">
      <w:start w:val="1"/>
      <w:numFmt w:val="decimal"/>
      <w:pStyle w:val="Titre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709" w:hanging="709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709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C2E67CD"/>
    <w:multiLevelType w:val="hybridMultilevel"/>
    <w:tmpl w:val="08DC1C7E"/>
    <w:lvl w:ilvl="0" w:tplc="F11435AA">
      <w:start w:val="1"/>
      <w:numFmt w:val="lowerLetter"/>
      <w:lvlText w:val="%1."/>
      <w:lvlJc w:val="left"/>
      <w:pPr>
        <w:ind w:left="25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74" w:hanging="360"/>
      </w:pPr>
    </w:lvl>
    <w:lvl w:ilvl="2" w:tplc="040C001B" w:tentative="1">
      <w:start w:val="1"/>
      <w:numFmt w:val="lowerRoman"/>
      <w:lvlText w:val="%3."/>
      <w:lvlJc w:val="right"/>
      <w:pPr>
        <w:ind w:left="3994" w:hanging="180"/>
      </w:pPr>
    </w:lvl>
    <w:lvl w:ilvl="3" w:tplc="040C000F" w:tentative="1">
      <w:start w:val="1"/>
      <w:numFmt w:val="decimal"/>
      <w:lvlText w:val="%4."/>
      <w:lvlJc w:val="left"/>
      <w:pPr>
        <w:ind w:left="4714" w:hanging="360"/>
      </w:pPr>
    </w:lvl>
    <w:lvl w:ilvl="4" w:tplc="040C0019" w:tentative="1">
      <w:start w:val="1"/>
      <w:numFmt w:val="lowerLetter"/>
      <w:lvlText w:val="%5."/>
      <w:lvlJc w:val="left"/>
      <w:pPr>
        <w:ind w:left="5434" w:hanging="360"/>
      </w:pPr>
    </w:lvl>
    <w:lvl w:ilvl="5" w:tplc="040C001B" w:tentative="1">
      <w:start w:val="1"/>
      <w:numFmt w:val="lowerRoman"/>
      <w:lvlText w:val="%6."/>
      <w:lvlJc w:val="right"/>
      <w:pPr>
        <w:ind w:left="6154" w:hanging="180"/>
      </w:pPr>
    </w:lvl>
    <w:lvl w:ilvl="6" w:tplc="040C000F" w:tentative="1">
      <w:start w:val="1"/>
      <w:numFmt w:val="decimal"/>
      <w:lvlText w:val="%7."/>
      <w:lvlJc w:val="left"/>
      <w:pPr>
        <w:ind w:left="6874" w:hanging="360"/>
      </w:pPr>
    </w:lvl>
    <w:lvl w:ilvl="7" w:tplc="040C0019" w:tentative="1">
      <w:start w:val="1"/>
      <w:numFmt w:val="lowerLetter"/>
      <w:lvlText w:val="%8."/>
      <w:lvlJc w:val="left"/>
      <w:pPr>
        <w:ind w:left="7594" w:hanging="360"/>
      </w:pPr>
    </w:lvl>
    <w:lvl w:ilvl="8" w:tplc="040C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2">
    <w:nsid w:val="0CFF4D40"/>
    <w:multiLevelType w:val="hybridMultilevel"/>
    <w:tmpl w:val="AE209F6C"/>
    <w:lvl w:ilvl="0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4" w:hanging="360"/>
      </w:pPr>
      <w:rPr>
        <w:rFonts w:ascii="Wingdings" w:hAnsi="Wingdings" w:hint="default"/>
      </w:rPr>
    </w:lvl>
  </w:abstractNum>
  <w:abstractNum w:abstractNumId="3">
    <w:nsid w:val="2983327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9F457A"/>
    <w:multiLevelType w:val="hybridMultilevel"/>
    <w:tmpl w:val="1388B634"/>
    <w:lvl w:ilvl="0" w:tplc="34DC2AA2">
      <w:start w:val="1"/>
      <w:numFmt w:val="bullet"/>
      <w:lvlText w:val="-"/>
      <w:lvlJc w:val="left"/>
      <w:pPr>
        <w:ind w:left="291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25"/>
    <w:rsid w:val="0004028B"/>
    <w:rsid w:val="000452C0"/>
    <w:rsid w:val="000D7FF8"/>
    <w:rsid w:val="0010520A"/>
    <w:rsid w:val="00194602"/>
    <w:rsid w:val="001D40C6"/>
    <w:rsid w:val="002362CD"/>
    <w:rsid w:val="002904C0"/>
    <w:rsid w:val="002A33AE"/>
    <w:rsid w:val="002A41E0"/>
    <w:rsid w:val="003569E7"/>
    <w:rsid w:val="003C3314"/>
    <w:rsid w:val="004160A0"/>
    <w:rsid w:val="004533D7"/>
    <w:rsid w:val="00453EFC"/>
    <w:rsid w:val="00485AC0"/>
    <w:rsid w:val="004D2CD8"/>
    <w:rsid w:val="004E31B7"/>
    <w:rsid w:val="004F6AB2"/>
    <w:rsid w:val="00505CDF"/>
    <w:rsid w:val="005467CE"/>
    <w:rsid w:val="00550D03"/>
    <w:rsid w:val="005640F6"/>
    <w:rsid w:val="0058088A"/>
    <w:rsid w:val="00624D4F"/>
    <w:rsid w:val="00653EED"/>
    <w:rsid w:val="007104A6"/>
    <w:rsid w:val="007956C7"/>
    <w:rsid w:val="007B4341"/>
    <w:rsid w:val="007D2989"/>
    <w:rsid w:val="007F2D6A"/>
    <w:rsid w:val="007F72A5"/>
    <w:rsid w:val="008D1C58"/>
    <w:rsid w:val="008F6BCE"/>
    <w:rsid w:val="009405E5"/>
    <w:rsid w:val="00941A14"/>
    <w:rsid w:val="009F5E86"/>
    <w:rsid w:val="00A34130"/>
    <w:rsid w:val="00A40F6C"/>
    <w:rsid w:val="00A42325"/>
    <w:rsid w:val="00A51E6E"/>
    <w:rsid w:val="00A55937"/>
    <w:rsid w:val="00A621A0"/>
    <w:rsid w:val="00A71665"/>
    <w:rsid w:val="00A83370"/>
    <w:rsid w:val="00AD5208"/>
    <w:rsid w:val="00AD5E49"/>
    <w:rsid w:val="00AE019C"/>
    <w:rsid w:val="00B102B4"/>
    <w:rsid w:val="00B27D2D"/>
    <w:rsid w:val="00B52807"/>
    <w:rsid w:val="00B63862"/>
    <w:rsid w:val="00B91290"/>
    <w:rsid w:val="00C02342"/>
    <w:rsid w:val="00C23B5D"/>
    <w:rsid w:val="00C32A64"/>
    <w:rsid w:val="00C56890"/>
    <w:rsid w:val="00C64EED"/>
    <w:rsid w:val="00CA3565"/>
    <w:rsid w:val="00CB75EC"/>
    <w:rsid w:val="00CC0196"/>
    <w:rsid w:val="00CE49F6"/>
    <w:rsid w:val="00CF775E"/>
    <w:rsid w:val="00D17FCA"/>
    <w:rsid w:val="00D32DAF"/>
    <w:rsid w:val="00D5493C"/>
    <w:rsid w:val="00D616E5"/>
    <w:rsid w:val="00D76969"/>
    <w:rsid w:val="00DD05F1"/>
    <w:rsid w:val="00E2069F"/>
    <w:rsid w:val="00E21843"/>
    <w:rsid w:val="00EA1BD1"/>
    <w:rsid w:val="00EA623D"/>
    <w:rsid w:val="00EB0E7A"/>
    <w:rsid w:val="00EC4537"/>
    <w:rsid w:val="00F03844"/>
    <w:rsid w:val="00F53AAE"/>
    <w:rsid w:val="00F558A7"/>
    <w:rsid w:val="00F7398B"/>
    <w:rsid w:val="00F97E1C"/>
    <w:rsid w:val="00FC17D9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lantin" w:hAnsi="Plant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lear" w:pos="454"/>
      </w:tabs>
      <w:spacing w:before="360" w:after="120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80" w:after="120"/>
      <w:jc w:val="both"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8980"/>
      </w:tabs>
    </w:pPr>
    <w:rPr>
      <w:rFonts w:ascii="CorporateSBQ" w:hAnsi="CorporateSBQ"/>
      <w:noProof/>
      <w:sz w:val="12"/>
    </w:rPr>
  </w:style>
  <w:style w:type="paragraph" w:customStyle="1" w:styleId="L1">
    <w:name w:val="L1"/>
    <w:basedOn w:val="Normal"/>
    <w:pPr>
      <w:tabs>
        <w:tab w:val="left" w:pos="1400"/>
        <w:tab w:val="left" w:pos="5660"/>
        <w:tab w:val="right" w:pos="8980"/>
      </w:tabs>
      <w:ind w:left="568" w:hanging="284"/>
      <w:jc w:val="both"/>
    </w:pPr>
    <w:rPr>
      <w:rFonts w:ascii="Book Antiqua" w:hAnsi="Book Antiqua"/>
    </w:rPr>
  </w:style>
  <w:style w:type="paragraph" w:customStyle="1" w:styleId="L2">
    <w:name w:val="L2"/>
    <w:basedOn w:val="Normal"/>
    <w:pPr>
      <w:tabs>
        <w:tab w:val="left" w:pos="1400"/>
        <w:tab w:val="left" w:pos="5660"/>
        <w:tab w:val="right" w:pos="8980"/>
      </w:tabs>
      <w:ind w:left="1135" w:hanging="284"/>
      <w:jc w:val="both"/>
    </w:pPr>
    <w:rPr>
      <w:rFonts w:ascii="Book Antiqua" w:hAnsi="Book Antiqua"/>
    </w:rPr>
  </w:style>
  <w:style w:type="paragraph" w:customStyle="1" w:styleId="L3">
    <w:name w:val="L3"/>
    <w:basedOn w:val="Normal"/>
    <w:pPr>
      <w:tabs>
        <w:tab w:val="left" w:pos="5660"/>
        <w:tab w:val="right" w:pos="8980"/>
      </w:tabs>
      <w:ind w:left="1702" w:hanging="284"/>
      <w:jc w:val="both"/>
    </w:pPr>
    <w:rPr>
      <w:rFonts w:ascii="Book Antiqua" w:hAnsi="Book Antiqua"/>
    </w:rPr>
  </w:style>
  <w:style w:type="paragraph" w:customStyle="1" w:styleId="L4">
    <w:name w:val="L4"/>
    <w:basedOn w:val="Normal"/>
    <w:pPr>
      <w:tabs>
        <w:tab w:val="left" w:pos="5660"/>
        <w:tab w:val="right" w:pos="8980"/>
      </w:tabs>
      <w:ind w:left="2269" w:hanging="284"/>
      <w:jc w:val="both"/>
    </w:pPr>
    <w:rPr>
      <w:rFonts w:ascii="Book Antiqua" w:hAnsi="Book Antiqua"/>
    </w:rPr>
  </w:style>
  <w:style w:type="paragraph" w:styleId="Notedebasdepage">
    <w:name w:val="footnote text"/>
    <w:basedOn w:val="Normal"/>
    <w:semiHidden/>
    <w:pPr>
      <w:tabs>
        <w:tab w:val="left" w:pos="1400"/>
        <w:tab w:val="left" w:pos="5660"/>
        <w:tab w:val="right" w:pos="8980"/>
      </w:tabs>
      <w:ind w:left="560" w:hanging="560"/>
      <w:jc w:val="both"/>
    </w:pPr>
    <w:rPr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next w:val="Normal"/>
    <w:pPr>
      <w:tabs>
        <w:tab w:val="right" w:pos="9000"/>
      </w:tabs>
      <w:jc w:val="both"/>
    </w:pPr>
    <w:rPr>
      <w:i/>
      <w:sz w:val="16"/>
    </w:rPr>
  </w:style>
  <w:style w:type="paragraph" w:customStyle="1" w:styleId="R1">
    <w:name w:val="R1"/>
    <w:basedOn w:val="Normal"/>
    <w:pPr>
      <w:tabs>
        <w:tab w:val="left" w:pos="1400"/>
        <w:tab w:val="left" w:pos="5660"/>
        <w:tab w:val="right" w:pos="8980"/>
      </w:tabs>
      <w:ind w:left="567"/>
      <w:jc w:val="both"/>
    </w:pPr>
  </w:style>
  <w:style w:type="paragraph" w:customStyle="1" w:styleId="R2">
    <w:name w:val="R2"/>
    <w:basedOn w:val="Normal"/>
    <w:pPr>
      <w:tabs>
        <w:tab w:val="left" w:pos="1400"/>
        <w:tab w:val="left" w:pos="5660"/>
        <w:tab w:val="right" w:pos="8980"/>
      </w:tabs>
      <w:ind w:left="1134"/>
      <w:jc w:val="both"/>
    </w:pPr>
  </w:style>
  <w:style w:type="paragraph" w:customStyle="1" w:styleId="R3">
    <w:name w:val="R3"/>
    <w:basedOn w:val="Normal"/>
    <w:pPr>
      <w:tabs>
        <w:tab w:val="left" w:pos="5660"/>
        <w:tab w:val="right" w:pos="8980"/>
      </w:tabs>
      <w:ind w:left="1701"/>
      <w:jc w:val="both"/>
    </w:pPr>
  </w:style>
  <w:style w:type="paragraph" w:customStyle="1" w:styleId="R4">
    <w:name w:val="R4"/>
    <w:basedOn w:val="Normal"/>
    <w:pPr>
      <w:tabs>
        <w:tab w:val="left" w:pos="5660"/>
        <w:tab w:val="right" w:pos="8980"/>
      </w:tabs>
      <w:ind w:left="2268"/>
      <w:jc w:val="both"/>
    </w:pPr>
  </w:style>
  <w:style w:type="paragraph" w:styleId="TM1">
    <w:name w:val="toc 1"/>
    <w:basedOn w:val="Normal"/>
    <w:next w:val="Normal"/>
    <w:semiHidden/>
    <w:pPr>
      <w:tabs>
        <w:tab w:val="right" w:leader="dot" w:pos="9072"/>
      </w:tabs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pPr>
      <w:tabs>
        <w:tab w:val="right" w:leader="dot" w:pos="9072"/>
      </w:tabs>
    </w:pPr>
    <w:rPr>
      <w:smallCaps/>
    </w:r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ind w:left="200"/>
    </w:pPr>
    <w:rPr>
      <w:i/>
    </w:r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400"/>
    </w:pPr>
    <w:rPr>
      <w:sz w:val="18"/>
    </w:r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600"/>
    </w:pPr>
    <w:rPr>
      <w:sz w:val="18"/>
    </w:r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8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0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2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semiHidden/>
    <w:pPr>
      <w:tabs>
        <w:tab w:val="right" w:leader="dot" w:pos="9072"/>
      </w:tabs>
      <w:ind w:left="1400"/>
    </w:pPr>
    <w:rPr>
      <w:rFonts w:ascii="Times New Roman" w:hAnsi="Times New Roman"/>
      <w:sz w:val="18"/>
    </w:rPr>
  </w:style>
  <w:style w:type="paragraph" w:customStyle="1" w:styleId="Corpsnote">
    <w:name w:val="Corps note"/>
    <w:basedOn w:val="Normal"/>
    <w:pPr>
      <w:jc w:val="both"/>
    </w:pPr>
  </w:style>
  <w:style w:type="paragraph" w:customStyle="1" w:styleId="StyleCorpsnoteGauche35cm">
    <w:name w:val="Style Corps note + Gauche :  35 cm"/>
    <w:basedOn w:val="Corpsnote"/>
    <w:rsid w:val="00CE49F6"/>
    <w:pPr>
      <w:ind w:left="2194"/>
    </w:pPr>
  </w:style>
  <w:style w:type="paragraph" w:customStyle="1" w:styleId="EnTete1">
    <w:name w:val="EnTete1"/>
    <w:basedOn w:val="Normal"/>
    <w:pPr>
      <w:spacing w:before="80" w:line="200" w:lineRule="exact"/>
      <w:ind w:left="85"/>
    </w:pPr>
    <w:rPr>
      <w:rFonts w:ascii="CorporateSBQ" w:hAnsi="CorporateSBQ"/>
      <w:b/>
      <w:color w:val="800000"/>
      <w:sz w:val="18"/>
    </w:rPr>
  </w:style>
  <w:style w:type="paragraph" w:customStyle="1" w:styleId="EnTete2">
    <w:name w:val="EnTete2"/>
    <w:basedOn w:val="EnTete1"/>
    <w:pPr>
      <w:spacing w:before="113"/>
    </w:pPr>
  </w:style>
  <w:style w:type="paragraph" w:customStyle="1" w:styleId="EnTete3">
    <w:name w:val="EnTete3"/>
    <w:basedOn w:val="EnTete2"/>
    <w:pPr>
      <w:spacing w:before="0"/>
    </w:pPr>
  </w:style>
  <w:style w:type="paragraph" w:customStyle="1" w:styleId="EnTete4">
    <w:name w:val="EnTete4"/>
    <w:basedOn w:val="EnTete2"/>
    <w:rPr>
      <w:b w:val="0"/>
      <w:color w:val="000000"/>
    </w:rPr>
  </w:style>
  <w:style w:type="paragraph" w:customStyle="1" w:styleId="AdrBnF">
    <w:name w:val="AdrBnF"/>
    <w:basedOn w:val="EnTete4"/>
    <w:pPr>
      <w:spacing w:before="60"/>
    </w:pPr>
  </w:style>
  <w:style w:type="paragraph" w:styleId="Textedebulles">
    <w:name w:val="Balloon Text"/>
    <w:basedOn w:val="Normal"/>
    <w:link w:val="TextedebullesCar"/>
    <w:rsid w:val="00EC45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45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lantin" w:hAnsi="Plant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lear" w:pos="454"/>
      </w:tabs>
      <w:spacing w:before="360" w:after="120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80" w:after="120"/>
      <w:jc w:val="both"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8980"/>
      </w:tabs>
    </w:pPr>
    <w:rPr>
      <w:rFonts w:ascii="CorporateSBQ" w:hAnsi="CorporateSBQ"/>
      <w:noProof/>
      <w:sz w:val="12"/>
    </w:rPr>
  </w:style>
  <w:style w:type="paragraph" w:customStyle="1" w:styleId="L1">
    <w:name w:val="L1"/>
    <w:basedOn w:val="Normal"/>
    <w:pPr>
      <w:tabs>
        <w:tab w:val="left" w:pos="1400"/>
        <w:tab w:val="left" w:pos="5660"/>
        <w:tab w:val="right" w:pos="8980"/>
      </w:tabs>
      <w:ind w:left="568" w:hanging="284"/>
      <w:jc w:val="both"/>
    </w:pPr>
    <w:rPr>
      <w:rFonts w:ascii="Book Antiqua" w:hAnsi="Book Antiqua"/>
    </w:rPr>
  </w:style>
  <w:style w:type="paragraph" w:customStyle="1" w:styleId="L2">
    <w:name w:val="L2"/>
    <w:basedOn w:val="Normal"/>
    <w:pPr>
      <w:tabs>
        <w:tab w:val="left" w:pos="1400"/>
        <w:tab w:val="left" w:pos="5660"/>
        <w:tab w:val="right" w:pos="8980"/>
      </w:tabs>
      <w:ind w:left="1135" w:hanging="284"/>
      <w:jc w:val="both"/>
    </w:pPr>
    <w:rPr>
      <w:rFonts w:ascii="Book Antiqua" w:hAnsi="Book Antiqua"/>
    </w:rPr>
  </w:style>
  <w:style w:type="paragraph" w:customStyle="1" w:styleId="L3">
    <w:name w:val="L3"/>
    <w:basedOn w:val="Normal"/>
    <w:pPr>
      <w:tabs>
        <w:tab w:val="left" w:pos="5660"/>
        <w:tab w:val="right" w:pos="8980"/>
      </w:tabs>
      <w:ind w:left="1702" w:hanging="284"/>
      <w:jc w:val="both"/>
    </w:pPr>
    <w:rPr>
      <w:rFonts w:ascii="Book Antiqua" w:hAnsi="Book Antiqua"/>
    </w:rPr>
  </w:style>
  <w:style w:type="paragraph" w:customStyle="1" w:styleId="L4">
    <w:name w:val="L4"/>
    <w:basedOn w:val="Normal"/>
    <w:pPr>
      <w:tabs>
        <w:tab w:val="left" w:pos="5660"/>
        <w:tab w:val="right" w:pos="8980"/>
      </w:tabs>
      <w:ind w:left="2269" w:hanging="284"/>
      <w:jc w:val="both"/>
    </w:pPr>
    <w:rPr>
      <w:rFonts w:ascii="Book Antiqua" w:hAnsi="Book Antiqua"/>
    </w:rPr>
  </w:style>
  <w:style w:type="paragraph" w:styleId="Notedebasdepage">
    <w:name w:val="footnote text"/>
    <w:basedOn w:val="Normal"/>
    <w:semiHidden/>
    <w:pPr>
      <w:tabs>
        <w:tab w:val="left" w:pos="1400"/>
        <w:tab w:val="left" w:pos="5660"/>
        <w:tab w:val="right" w:pos="8980"/>
      </w:tabs>
      <w:ind w:left="560" w:hanging="560"/>
      <w:jc w:val="both"/>
    </w:pPr>
    <w:rPr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next w:val="Normal"/>
    <w:pPr>
      <w:tabs>
        <w:tab w:val="right" w:pos="9000"/>
      </w:tabs>
      <w:jc w:val="both"/>
    </w:pPr>
    <w:rPr>
      <w:i/>
      <w:sz w:val="16"/>
    </w:rPr>
  </w:style>
  <w:style w:type="paragraph" w:customStyle="1" w:styleId="R1">
    <w:name w:val="R1"/>
    <w:basedOn w:val="Normal"/>
    <w:pPr>
      <w:tabs>
        <w:tab w:val="left" w:pos="1400"/>
        <w:tab w:val="left" w:pos="5660"/>
        <w:tab w:val="right" w:pos="8980"/>
      </w:tabs>
      <w:ind w:left="567"/>
      <w:jc w:val="both"/>
    </w:pPr>
  </w:style>
  <w:style w:type="paragraph" w:customStyle="1" w:styleId="R2">
    <w:name w:val="R2"/>
    <w:basedOn w:val="Normal"/>
    <w:pPr>
      <w:tabs>
        <w:tab w:val="left" w:pos="1400"/>
        <w:tab w:val="left" w:pos="5660"/>
        <w:tab w:val="right" w:pos="8980"/>
      </w:tabs>
      <w:ind w:left="1134"/>
      <w:jc w:val="both"/>
    </w:pPr>
  </w:style>
  <w:style w:type="paragraph" w:customStyle="1" w:styleId="R3">
    <w:name w:val="R3"/>
    <w:basedOn w:val="Normal"/>
    <w:pPr>
      <w:tabs>
        <w:tab w:val="left" w:pos="5660"/>
        <w:tab w:val="right" w:pos="8980"/>
      </w:tabs>
      <w:ind w:left="1701"/>
      <w:jc w:val="both"/>
    </w:pPr>
  </w:style>
  <w:style w:type="paragraph" w:customStyle="1" w:styleId="R4">
    <w:name w:val="R4"/>
    <w:basedOn w:val="Normal"/>
    <w:pPr>
      <w:tabs>
        <w:tab w:val="left" w:pos="5660"/>
        <w:tab w:val="right" w:pos="8980"/>
      </w:tabs>
      <w:ind w:left="2268"/>
      <w:jc w:val="both"/>
    </w:pPr>
  </w:style>
  <w:style w:type="paragraph" w:styleId="TM1">
    <w:name w:val="toc 1"/>
    <w:basedOn w:val="Normal"/>
    <w:next w:val="Normal"/>
    <w:semiHidden/>
    <w:pPr>
      <w:tabs>
        <w:tab w:val="right" w:leader="dot" w:pos="9072"/>
      </w:tabs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pPr>
      <w:tabs>
        <w:tab w:val="right" w:leader="dot" w:pos="9072"/>
      </w:tabs>
    </w:pPr>
    <w:rPr>
      <w:smallCaps/>
    </w:r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ind w:left="200"/>
    </w:pPr>
    <w:rPr>
      <w:i/>
    </w:r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400"/>
    </w:pPr>
    <w:rPr>
      <w:sz w:val="18"/>
    </w:r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600"/>
    </w:pPr>
    <w:rPr>
      <w:sz w:val="18"/>
    </w:r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8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0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2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semiHidden/>
    <w:pPr>
      <w:tabs>
        <w:tab w:val="right" w:leader="dot" w:pos="9072"/>
      </w:tabs>
      <w:ind w:left="1400"/>
    </w:pPr>
    <w:rPr>
      <w:rFonts w:ascii="Times New Roman" w:hAnsi="Times New Roman"/>
      <w:sz w:val="18"/>
    </w:rPr>
  </w:style>
  <w:style w:type="paragraph" w:customStyle="1" w:styleId="Corpsnote">
    <w:name w:val="Corps note"/>
    <w:basedOn w:val="Normal"/>
    <w:pPr>
      <w:jc w:val="both"/>
    </w:pPr>
  </w:style>
  <w:style w:type="paragraph" w:customStyle="1" w:styleId="StyleCorpsnoteGauche35cm">
    <w:name w:val="Style Corps note + Gauche :  35 cm"/>
    <w:basedOn w:val="Corpsnote"/>
    <w:rsid w:val="00CE49F6"/>
    <w:pPr>
      <w:ind w:left="2194"/>
    </w:pPr>
  </w:style>
  <w:style w:type="paragraph" w:customStyle="1" w:styleId="EnTete1">
    <w:name w:val="EnTete1"/>
    <w:basedOn w:val="Normal"/>
    <w:pPr>
      <w:spacing w:before="80" w:line="200" w:lineRule="exact"/>
      <w:ind w:left="85"/>
    </w:pPr>
    <w:rPr>
      <w:rFonts w:ascii="CorporateSBQ" w:hAnsi="CorporateSBQ"/>
      <w:b/>
      <w:color w:val="800000"/>
      <w:sz w:val="18"/>
    </w:rPr>
  </w:style>
  <w:style w:type="paragraph" w:customStyle="1" w:styleId="EnTete2">
    <w:name w:val="EnTete2"/>
    <w:basedOn w:val="EnTete1"/>
    <w:pPr>
      <w:spacing w:before="113"/>
    </w:pPr>
  </w:style>
  <w:style w:type="paragraph" w:customStyle="1" w:styleId="EnTete3">
    <w:name w:val="EnTete3"/>
    <w:basedOn w:val="EnTete2"/>
    <w:pPr>
      <w:spacing w:before="0"/>
    </w:pPr>
  </w:style>
  <w:style w:type="paragraph" w:customStyle="1" w:styleId="EnTete4">
    <w:name w:val="EnTete4"/>
    <w:basedOn w:val="EnTete2"/>
    <w:rPr>
      <w:b w:val="0"/>
      <w:color w:val="000000"/>
    </w:rPr>
  </w:style>
  <w:style w:type="paragraph" w:customStyle="1" w:styleId="AdrBnF">
    <w:name w:val="AdrBnF"/>
    <w:basedOn w:val="EnTete4"/>
    <w:pPr>
      <w:spacing w:before="60"/>
    </w:pPr>
  </w:style>
  <w:style w:type="paragraph" w:styleId="Textedebulles">
    <w:name w:val="Balloon Text"/>
    <w:basedOn w:val="Normal"/>
    <w:link w:val="TextedebullesCar"/>
    <w:rsid w:val="00EC45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45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758</TotalTime>
  <Pages>3</Pages>
  <Words>1260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BNF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cp:lastModifiedBy>Marie CHOULEUR</cp:lastModifiedBy>
  <cp:revision>23</cp:revision>
  <dcterms:created xsi:type="dcterms:W3CDTF">2012-10-30T14:34:00Z</dcterms:created>
  <dcterms:modified xsi:type="dcterms:W3CDTF">2018-06-12T15:25:00Z</dcterms:modified>
</cp:coreProperties>
</file>